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EFD6B" w14:textId="301A77BD" w:rsidR="00420B9A" w:rsidRDefault="00420B9A" w:rsidP="002B6280">
      <w:bookmarkStart w:id="0" w:name="_GoBack"/>
      <w:bookmarkEnd w:id="0"/>
      <w:r>
        <w:rPr>
          <w:noProof/>
        </w:rPr>
        <w:drawing>
          <wp:inline distT="0" distB="0" distL="0" distR="0" wp14:anchorId="6D50963C" wp14:editId="3757CAB3">
            <wp:extent cx="532852" cy="669627"/>
            <wp:effectExtent l="38100" t="38100" r="76835" b="7366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09DCF9A6" w14:textId="77777777" w:rsidR="00420B9A" w:rsidRDefault="00420B9A" w:rsidP="002B6280">
      <w:pPr>
        <w:pStyle w:val="Title"/>
        <w:pBdr>
          <w:bottom w:val="single" w:sz="12" w:space="0" w:color="000000"/>
        </w:pBdr>
        <w:jc w:val="center"/>
      </w:pPr>
      <w:bookmarkStart w:id="1" w:name="_Toc452019012"/>
      <w:bookmarkStart w:id="2" w:name="_Toc453241953"/>
      <w:r>
        <w:t>Information Security Program (ISP) Implementation Guidelines</w:t>
      </w:r>
      <w:bookmarkEnd w:id="1"/>
      <w:bookmarkEnd w:id="2"/>
    </w:p>
    <w:p w14:paraId="7D61FE96" w14:textId="77777777" w:rsidR="00420B9A" w:rsidRPr="001F617F" w:rsidRDefault="00420B9A" w:rsidP="009333B8">
      <w:pPr>
        <w:pStyle w:val="Heading1"/>
        <w:numPr>
          <w:ilvl w:val="0"/>
          <w:numId w:val="15"/>
        </w:numPr>
        <w:ind w:left="360" w:hanging="360"/>
      </w:pPr>
      <w:r w:rsidRPr="001346DE">
        <w:t>Purpose</w:t>
      </w:r>
    </w:p>
    <w:p w14:paraId="3370C3EB" w14:textId="0EE4C7B0" w:rsidR="00420B9A" w:rsidRDefault="00420B9A" w:rsidP="003B3F44">
      <w:r w:rsidRPr="004523D8">
        <w:rPr>
          <w:b/>
          <w:color w:val="FF0000"/>
        </w:rPr>
        <w:t>&lt;</w:t>
      </w:r>
      <w:r w:rsidR="0019142C" w:rsidRPr="00BC0379">
        <w:rPr>
          <w:b/>
          <w:bCs/>
          <w:color w:val="FF0000"/>
          <w:u w:color="FF0000"/>
          <w:lang w:val="de-DE"/>
        </w:rPr>
        <w:t>Utility Name</w:t>
      </w:r>
      <w:r w:rsidRPr="004523D8">
        <w:rPr>
          <w:b/>
          <w:color w:val="FF0000"/>
        </w:rPr>
        <w:t>&gt;</w:t>
      </w:r>
      <w:r>
        <w:t xml:space="preserve"> recognizes the need to involve all employees to effectively implement the Information Security Program (ISP). </w:t>
      </w:r>
    </w:p>
    <w:p w14:paraId="0818D8EE" w14:textId="7D33616D" w:rsidR="00420B9A" w:rsidRDefault="00420B9A" w:rsidP="002B6280">
      <w:pPr>
        <w:pStyle w:val="Body"/>
        <w:ind w:left="360"/>
        <w:rPr>
          <w:i/>
          <w:iCs/>
          <w:color w:val="0070C0"/>
          <w:u w:color="0070C0"/>
        </w:rPr>
      </w:pPr>
      <w:r>
        <w:rPr>
          <w:i/>
          <w:iCs/>
          <w:color w:val="0070C0"/>
          <w:u w:color="0070C0"/>
        </w:rPr>
        <w:t xml:space="preserve">[Explanatory Note: This policy draft is intended for establishing a process for implementing an </w:t>
      </w:r>
      <w:r w:rsidR="00887476">
        <w:rPr>
          <w:i/>
          <w:iCs/>
          <w:color w:val="0070C0"/>
          <w:u w:color="0070C0"/>
        </w:rPr>
        <w:t>ISP</w:t>
      </w:r>
      <w:r>
        <w:rPr>
          <w:i/>
          <w:iCs/>
          <w:color w:val="0070C0"/>
          <w:u w:color="0070C0"/>
        </w:rPr>
        <w:t xml:space="preserve"> at the Board of Directors (BOD) level with policies and procedures which the staff will implement and follow.  Examples of organizational hierarchy most likely will require modification to reflect organizational structure of a particular </w:t>
      </w:r>
      <w:r w:rsidR="0019142C">
        <w:rPr>
          <w:i/>
          <w:iCs/>
          <w:color w:val="0070C0"/>
          <w:u w:color="0070C0"/>
        </w:rPr>
        <w:t>Utility</w:t>
      </w:r>
      <w:r>
        <w:rPr>
          <w:i/>
          <w:iCs/>
          <w:color w:val="0070C0"/>
          <w:u w:color="0070C0"/>
        </w:rPr>
        <w:t>.]</w:t>
      </w:r>
    </w:p>
    <w:p w14:paraId="3C46CBAC" w14:textId="77777777" w:rsidR="00420B9A" w:rsidRPr="001F617F" w:rsidRDefault="00420B9A" w:rsidP="00A905C8">
      <w:pPr>
        <w:pStyle w:val="Heading1"/>
        <w:ind w:left="360" w:hanging="360"/>
      </w:pPr>
      <w:r w:rsidRPr="001346DE">
        <w:t>Scope</w:t>
      </w:r>
    </w:p>
    <w:p w14:paraId="03005B95" w14:textId="71DEBFB4" w:rsidR="00420B9A" w:rsidRDefault="00420B9A" w:rsidP="003B3F44">
      <w:r>
        <w:t>This document provides guidelines for the effective implementation of an Information Security Program (ISP), and will emphasize the importance of defining document types and a model for assigning responsibility.  The scope of the ISP is broader than the IT discipline. These guidelines suggest establishing a Steering Committee to develop a security-conscious culture throughout the organization.</w:t>
      </w:r>
    </w:p>
    <w:p w14:paraId="3FC60B4A" w14:textId="77777777" w:rsidR="00420B9A" w:rsidRDefault="00420B9A" w:rsidP="00A905C8">
      <w:pPr>
        <w:pStyle w:val="Heading1"/>
        <w:ind w:left="360" w:hanging="360"/>
        <w:rPr>
          <w:lang w:val="nl-NL"/>
        </w:rPr>
      </w:pPr>
      <w:r w:rsidRPr="001346DE">
        <w:t>Guidelines</w:t>
      </w:r>
    </w:p>
    <w:p w14:paraId="2BABFD83" w14:textId="77777777" w:rsidR="00420B9A" w:rsidRPr="00301D59" w:rsidRDefault="00420B9A" w:rsidP="009333B8">
      <w:pPr>
        <w:pStyle w:val="ListParagraph"/>
        <w:keepNext/>
        <w:keepLines/>
        <w:numPr>
          <w:ilvl w:val="0"/>
          <w:numId w:val="7"/>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rPr>
      </w:pPr>
    </w:p>
    <w:p w14:paraId="00295D17" w14:textId="77777777" w:rsidR="00420B9A" w:rsidRPr="00301D59" w:rsidRDefault="00420B9A" w:rsidP="009333B8">
      <w:pPr>
        <w:pStyle w:val="ListParagraph"/>
        <w:keepNext/>
        <w:keepLines/>
        <w:numPr>
          <w:ilvl w:val="0"/>
          <w:numId w:val="7"/>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rPr>
      </w:pPr>
    </w:p>
    <w:p w14:paraId="4DE4EE4E" w14:textId="77777777" w:rsidR="00420B9A" w:rsidRPr="00301D59" w:rsidRDefault="00420B9A" w:rsidP="009333B8">
      <w:pPr>
        <w:pStyle w:val="ListParagraph"/>
        <w:keepNext/>
        <w:keepLines/>
        <w:numPr>
          <w:ilvl w:val="0"/>
          <w:numId w:val="7"/>
        </w:numPr>
        <w:pBdr>
          <w:top w:val="nil"/>
          <w:left w:val="nil"/>
          <w:bottom w:val="nil"/>
          <w:right w:val="nil"/>
          <w:between w:val="nil"/>
          <w:bar w:val="nil"/>
        </w:pBdr>
        <w:spacing w:before="40" w:after="0"/>
        <w:contextualSpacing w:val="0"/>
        <w:outlineLvl w:val="1"/>
        <w:rPr>
          <w:rFonts w:ascii="Calibri Light" w:eastAsia="Calibri Light" w:hAnsi="Calibri Light" w:cs="Calibri Light"/>
          <w:vanish/>
          <w:color w:val="2E74B5"/>
          <w:sz w:val="26"/>
          <w:szCs w:val="26"/>
          <w:u w:color="2E74B5"/>
        </w:rPr>
      </w:pPr>
    </w:p>
    <w:p w14:paraId="629713F5" w14:textId="77777777" w:rsidR="00420B9A" w:rsidRDefault="00420B9A" w:rsidP="009333B8">
      <w:pPr>
        <w:pStyle w:val="Heading2"/>
        <w:numPr>
          <w:ilvl w:val="1"/>
          <w:numId w:val="7"/>
        </w:numPr>
        <w:pBdr>
          <w:top w:val="nil"/>
          <w:left w:val="nil"/>
          <w:bottom w:val="nil"/>
          <w:right w:val="nil"/>
          <w:between w:val="nil"/>
          <w:bar w:val="nil"/>
        </w:pBdr>
        <w:spacing w:before="40" w:line="259" w:lineRule="auto"/>
        <w:ind w:left="1080" w:hanging="720"/>
      </w:pPr>
      <w:r>
        <w:t>Documents structure</w:t>
      </w:r>
    </w:p>
    <w:p w14:paraId="58E57C43" w14:textId="77777777" w:rsidR="00A905C8" w:rsidRDefault="00420B9A" w:rsidP="00A905C8">
      <w:pPr>
        <w:pStyle w:val="Body"/>
        <w:ind w:left="360"/>
        <w:rPr>
          <w:rFonts w:asciiTheme="minorHAnsi" w:hAnsiTheme="minorHAnsi" w:cstheme="minorHAnsi"/>
        </w:rPr>
      </w:pPr>
      <w:r w:rsidRPr="005B24C6">
        <w:rPr>
          <w:rFonts w:asciiTheme="minorHAnsi" w:hAnsiTheme="minorHAnsi" w:cstheme="minorHAnsi"/>
        </w:rPr>
        <w:t>The ISP will use the following documentation structure:</w:t>
      </w:r>
    </w:p>
    <w:p w14:paraId="76DD0382" w14:textId="77777777" w:rsidR="00A905C8" w:rsidRPr="00A905C8" w:rsidRDefault="00A905C8" w:rsidP="009333B8">
      <w:pPr>
        <w:pStyle w:val="ListParagraph"/>
        <w:numPr>
          <w:ilvl w:val="0"/>
          <w:numId w:val="179"/>
        </w:numPr>
        <w:pBdr>
          <w:top w:val="nil"/>
          <w:left w:val="nil"/>
          <w:bottom w:val="nil"/>
          <w:right w:val="nil"/>
          <w:between w:val="nil"/>
          <w:bar w:val="nil"/>
        </w:pBdr>
        <w:contextualSpacing w:val="0"/>
        <w:rPr>
          <w:rFonts w:ascii="Calibri" w:eastAsia="Calibri" w:hAnsi="Calibri" w:cs="Calibri"/>
          <w:vanish/>
          <w:color w:val="000000"/>
          <w:u w:color="000000"/>
          <w:bdr w:val="nil"/>
        </w:rPr>
      </w:pPr>
    </w:p>
    <w:p w14:paraId="17DC8505" w14:textId="77777777" w:rsidR="00A905C8" w:rsidRPr="00A905C8" w:rsidRDefault="00A905C8" w:rsidP="009333B8">
      <w:pPr>
        <w:pStyle w:val="ListParagraph"/>
        <w:numPr>
          <w:ilvl w:val="0"/>
          <w:numId w:val="179"/>
        </w:numPr>
        <w:pBdr>
          <w:top w:val="nil"/>
          <w:left w:val="nil"/>
          <w:bottom w:val="nil"/>
          <w:right w:val="nil"/>
          <w:between w:val="nil"/>
          <w:bar w:val="nil"/>
        </w:pBdr>
        <w:contextualSpacing w:val="0"/>
        <w:rPr>
          <w:rFonts w:ascii="Calibri" w:eastAsia="Calibri" w:hAnsi="Calibri" w:cs="Calibri"/>
          <w:vanish/>
          <w:color w:val="000000"/>
          <w:u w:color="000000"/>
          <w:bdr w:val="nil"/>
        </w:rPr>
      </w:pPr>
    </w:p>
    <w:p w14:paraId="01E7CEC9" w14:textId="77777777" w:rsidR="005B24C6" w:rsidRPr="005B24C6" w:rsidRDefault="00420B9A" w:rsidP="009333B8">
      <w:pPr>
        <w:pStyle w:val="ListParagraph"/>
        <w:numPr>
          <w:ilvl w:val="2"/>
          <w:numId w:val="179"/>
        </w:numPr>
        <w:tabs>
          <w:tab w:val="left" w:pos="1170"/>
        </w:tabs>
        <w:ind w:left="1800"/>
      </w:pPr>
      <w:r>
        <w:rPr>
          <w:bCs/>
        </w:rPr>
        <w:t>Policy</w:t>
      </w:r>
    </w:p>
    <w:p w14:paraId="34F4B0D0" w14:textId="140EBD96" w:rsidR="00420B9A" w:rsidRPr="00301D59" w:rsidRDefault="00420B9A" w:rsidP="00656B6C">
      <w:pPr>
        <w:pStyle w:val="ListParagraph"/>
        <w:tabs>
          <w:tab w:val="left" w:pos="1170"/>
        </w:tabs>
        <w:ind w:left="1080"/>
      </w:pPr>
      <w:r w:rsidRPr="00301D59">
        <w:t xml:space="preserve">A </w:t>
      </w:r>
      <w:r w:rsidR="00887476">
        <w:t xml:space="preserve">Policy is a </w:t>
      </w:r>
      <w:r w:rsidRPr="00301D59">
        <w:t>formal, brief, and high-level statement or plan that embraces an organization's general beliefs, goals, objectives, and acceptable procedures for a specified subject area. Policies always state required actions, and may include pointers to standards. Policy attributes include the following:</w:t>
      </w:r>
    </w:p>
    <w:p w14:paraId="2A2FF375" w14:textId="77777777" w:rsidR="00420B9A" w:rsidRDefault="00420B9A" w:rsidP="009333B8">
      <w:pPr>
        <w:pStyle w:val="ListParagraph"/>
        <w:numPr>
          <w:ilvl w:val="0"/>
          <w:numId w:val="8"/>
        </w:numPr>
        <w:pBdr>
          <w:top w:val="nil"/>
          <w:left w:val="nil"/>
          <w:bottom w:val="nil"/>
          <w:right w:val="nil"/>
          <w:between w:val="nil"/>
          <w:bar w:val="nil"/>
        </w:pBdr>
        <w:spacing w:after="0"/>
        <w:contextualSpacing w:val="0"/>
      </w:pPr>
      <w:r>
        <w:t>Require compliance (mandatory)</w:t>
      </w:r>
    </w:p>
    <w:p w14:paraId="0C9B9C75" w14:textId="77777777" w:rsidR="00420B9A" w:rsidRDefault="00420B9A" w:rsidP="009333B8">
      <w:pPr>
        <w:pStyle w:val="ListParagraph"/>
        <w:numPr>
          <w:ilvl w:val="0"/>
          <w:numId w:val="8"/>
        </w:numPr>
        <w:pBdr>
          <w:top w:val="nil"/>
          <w:left w:val="nil"/>
          <w:bottom w:val="nil"/>
          <w:right w:val="nil"/>
          <w:between w:val="nil"/>
          <w:bar w:val="nil"/>
        </w:pBdr>
        <w:spacing w:after="0"/>
        <w:contextualSpacing w:val="0"/>
      </w:pPr>
      <w:r>
        <w:t>Failure to comply results in disciplinary action</w:t>
      </w:r>
    </w:p>
    <w:p w14:paraId="48CDFCE2" w14:textId="77777777" w:rsidR="00420B9A" w:rsidRDefault="00420B9A" w:rsidP="009333B8">
      <w:pPr>
        <w:pStyle w:val="ListParagraph"/>
        <w:numPr>
          <w:ilvl w:val="0"/>
          <w:numId w:val="8"/>
        </w:numPr>
        <w:pBdr>
          <w:top w:val="nil"/>
          <w:left w:val="nil"/>
          <w:bottom w:val="nil"/>
          <w:right w:val="nil"/>
          <w:between w:val="nil"/>
          <w:bar w:val="nil"/>
        </w:pBdr>
        <w:spacing w:after="0"/>
        <w:contextualSpacing w:val="0"/>
      </w:pPr>
      <w:r>
        <w:t>Focus on desired results, not on means of implementation</w:t>
      </w:r>
    </w:p>
    <w:p w14:paraId="216B55C7" w14:textId="77777777" w:rsidR="00420B9A" w:rsidRDefault="00420B9A" w:rsidP="009333B8">
      <w:pPr>
        <w:pStyle w:val="ListParagraph"/>
        <w:numPr>
          <w:ilvl w:val="0"/>
          <w:numId w:val="8"/>
        </w:numPr>
        <w:pBdr>
          <w:top w:val="nil"/>
          <w:left w:val="nil"/>
          <w:bottom w:val="nil"/>
          <w:right w:val="nil"/>
          <w:between w:val="nil"/>
          <w:bar w:val="nil"/>
        </w:pBdr>
        <w:contextualSpacing w:val="0"/>
      </w:pPr>
      <w:r>
        <w:t>Further defined by standards and guidelines</w:t>
      </w:r>
    </w:p>
    <w:p w14:paraId="2DC66772" w14:textId="77777777" w:rsidR="00A905C8" w:rsidRDefault="00420B9A" w:rsidP="009333B8">
      <w:pPr>
        <w:pStyle w:val="ListParagraph"/>
        <w:numPr>
          <w:ilvl w:val="2"/>
          <w:numId w:val="179"/>
        </w:numPr>
        <w:tabs>
          <w:tab w:val="left" w:pos="1800"/>
        </w:tabs>
        <w:ind w:left="1800"/>
      </w:pPr>
      <w:r w:rsidRPr="00301D59">
        <w:t>Standard</w:t>
      </w:r>
    </w:p>
    <w:p w14:paraId="2F7B4413" w14:textId="57A26D26" w:rsidR="00420B9A" w:rsidRPr="00A905C8" w:rsidRDefault="00420B9A" w:rsidP="00656B6C">
      <w:pPr>
        <w:pStyle w:val="ListParagraph"/>
        <w:ind w:left="1080"/>
      </w:pPr>
      <w:r w:rsidRPr="00A905C8">
        <w:rPr>
          <w:rFonts w:cstheme="minorHAnsi"/>
        </w:rPr>
        <w:t xml:space="preserve">A </w:t>
      </w:r>
      <w:r w:rsidR="00887476">
        <w:rPr>
          <w:rFonts w:cstheme="minorHAnsi"/>
        </w:rPr>
        <w:t xml:space="preserve">Standard is a </w:t>
      </w:r>
      <w:r w:rsidRPr="00A905C8">
        <w:rPr>
          <w:rFonts w:cstheme="minorHAnsi"/>
        </w:rPr>
        <w:t>mandatory action or rule designed to support and conform to a policy.  </w:t>
      </w:r>
    </w:p>
    <w:p w14:paraId="26EF6791" w14:textId="77777777" w:rsidR="00420B9A" w:rsidRPr="00301D59" w:rsidRDefault="00420B9A" w:rsidP="009333B8">
      <w:pPr>
        <w:pStyle w:val="ListParagraph"/>
        <w:numPr>
          <w:ilvl w:val="0"/>
          <w:numId w:val="9"/>
        </w:numPr>
        <w:pBdr>
          <w:top w:val="nil"/>
          <w:left w:val="nil"/>
          <w:bottom w:val="nil"/>
          <w:right w:val="nil"/>
          <w:between w:val="nil"/>
          <w:bar w:val="nil"/>
        </w:pBdr>
        <w:shd w:val="clear" w:color="auto" w:fill="FFFFFF"/>
        <w:spacing w:after="0"/>
        <w:contextualSpacing w:val="0"/>
        <w:rPr>
          <w:rFonts w:ascii="Helvetica" w:eastAsia="Helvetica" w:hAnsi="Helvetica" w:cs="Helvetica"/>
          <w:sz w:val="21"/>
          <w:szCs w:val="21"/>
        </w:rPr>
      </w:pPr>
      <w:r>
        <w:t>A standard should make a policy more meaningful and effective</w:t>
      </w:r>
    </w:p>
    <w:p w14:paraId="4964F746" w14:textId="77777777" w:rsidR="00420B9A" w:rsidRPr="00301D59" w:rsidRDefault="00420B9A" w:rsidP="009333B8">
      <w:pPr>
        <w:pStyle w:val="ListParagraph"/>
        <w:numPr>
          <w:ilvl w:val="0"/>
          <w:numId w:val="9"/>
        </w:numPr>
        <w:pBdr>
          <w:top w:val="nil"/>
          <w:left w:val="nil"/>
          <w:bottom w:val="nil"/>
          <w:right w:val="nil"/>
          <w:between w:val="nil"/>
          <w:bar w:val="nil"/>
        </w:pBdr>
        <w:shd w:val="clear" w:color="auto" w:fill="FFFFFF"/>
        <w:spacing w:after="150"/>
        <w:contextualSpacing w:val="0"/>
        <w:rPr>
          <w:rFonts w:ascii="Helvetica" w:eastAsia="Helvetica" w:hAnsi="Helvetica" w:cs="Helvetica"/>
          <w:sz w:val="21"/>
          <w:szCs w:val="21"/>
        </w:rPr>
      </w:pPr>
      <w:r>
        <w:t>A standard must include one or more accepted specifications for documentation, hardware, software, and behavior</w:t>
      </w:r>
    </w:p>
    <w:p w14:paraId="416F0ADA" w14:textId="77777777" w:rsidR="00A905C8" w:rsidRPr="00A905C8" w:rsidRDefault="00420B9A" w:rsidP="009333B8">
      <w:pPr>
        <w:pStyle w:val="ListParagraph"/>
        <w:numPr>
          <w:ilvl w:val="2"/>
          <w:numId w:val="179"/>
        </w:numPr>
        <w:ind w:left="1800"/>
      </w:pPr>
      <w:r w:rsidRPr="00301D59">
        <w:rPr>
          <w:lang w:val="it-IT"/>
        </w:rPr>
        <w:t>Procedure</w:t>
      </w:r>
    </w:p>
    <w:p w14:paraId="0BC6E2E1" w14:textId="3AA73A43" w:rsidR="00420B9A" w:rsidRDefault="00887476" w:rsidP="00887476">
      <w:pPr>
        <w:pStyle w:val="ListParagraph"/>
        <w:ind w:left="1080"/>
      </w:pPr>
      <w:r>
        <w:rPr>
          <w:rFonts w:cstheme="minorHAnsi"/>
        </w:rPr>
        <w:t xml:space="preserve">A </w:t>
      </w:r>
      <w:r w:rsidR="00420B9A" w:rsidRPr="00A905C8">
        <w:rPr>
          <w:rFonts w:cstheme="minorHAnsi"/>
        </w:rPr>
        <w:t>Procedure describe</w:t>
      </w:r>
      <w:r>
        <w:rPr>
          <w:rFonts w:cstheme="minorHAnsi"/>
        </w:rPr>
        <w:t>s</w:t>
      </w:r>
      <w:r w:rsidR="00420B9A" w:rsidRPr="00A905C8">
        <w:rPr>
          <w:rFonts w:cstheme="minorHAnsi"/>
        </w:rPr>
        <w:t xml:space="preserve"> the process of implementing a Policy and enforce</w:t>
      </w:r>
      <w:r>
        <w:rPr>
          <w:rFonts w:cstheme="minorHAnsi"/>
        </w:rPr>
        <w:t>s</w:t>
      </w:r>
      <w:r w:rsidR="00420B9A" w:rsidRPr="00A905C8">
        <w:rPr>
          <w:rFonts w:cstheme="minorHAnsi"/>
        </w:rPr>
        <w:t xml:space="preserve"> that Policy</w:t>
      </w:r>
      <w:r>
        <w:rPr>
          <w:rFonts w:cstheme="minorHAnsi"/>
        </w:rPr>
        <w:t xml:space="preserve">. </w:t>
      </w:r>
      <w:r w:rsidR="00420B9A">
        <w:t xml:space="preserve">A </w:t>
      </w:r>
      <w:r>
        <w:t xml:space="preserve">Procedure is a </w:t>
      </w:r>
      <w:r w:rsidR="00420B9A">
        <w:t>series of steps taken to accomplish an end goal</w:t>
      </w:r>
      <w:r>
        <w:t>:</w:t>
      </w:r>
    </w:p>
    <w:p w14:paraId="67FA7ADF" w14:textId="08AEBB2D" w:rsidR="00420B9A" w:rsidRDefault="00887476" w:rsidP="009333B8">
      <w:pPr>
        <w:pStyle w:val="ListParagraph"/>
        <w:numPr>
          <w:ilvl w:val="0"/>
          <w:numId w:val="10"/>
        </w:numPr>
        <w:pBdr>
          <w:top w:val="nil"/>
          <w:left w:val="nil"/>
          <w:bottom w:val="nil"/>
          <w:right w:val="nil"/>
          <w:between w:val="nil"/>
          <w:bar w:val="nil"/>
        </w:pBdr>
        <w:spacing w:after="0"/>
        <w:contextualSpacing w:val="0"/>
      </w:pPr>
      <w:r>
        <w:t>D</w:t>
      </w:r>
      <w:r w:rsidR="00420B9A">
        <w:t>efine</w:t>
      </w:r>
      <w:r>
        <w:t>s</w:t>
      </w:r>
      <w:r w:rsidR="00420B9A">
        <w:t xml:space="preserve"> "how" to protect resources and are the mechanisms to enforce policy</w:t>
      </w:r>
    </w:p>
    <w:p w14:paraId="0F48B281" w14:textId="2CE1F414" w:rsidR="00420B9A" w:rsidRDefault="00887476" w:rsidP="009333B8">
      <w:pPr>
        <w:pStyle w:val="ListParagraph"/>
        <w:numPr>
          <w:ilvl w:val="0"/>
          <w:numId w:val="10"/>
        </w:numPr>
        <w:pBdr>
          <w:top w:val="nil"/>
          <w:left w:val="nil"/>
          <w:bottom w:val="nil"/>
          <w:right w:val="nil"/>
          <w:between w:val="nil"/>
          <w:bar w:val="nil"/>
        </w:pBdr>
        <w:spacing w:after="0"/>
        <w:contextualSpacing w:val="0"/>
      </w:pPr>
      <w:r>
        <w:t>P</w:t>
      </w:r>
      <w:r w:rsidR="00420B9A">
        <w:t>rovide</w:t>
      </w:r>
      <w:r>
        <w:t>s</w:t>
      </w:r>
      <w:r w:rsidR="00420B9A">
        <w:t xml:space="preserve"> a quick reference in times of crisis</w:t>
      </w:r>
    </w:p>
    <w:p w14:paraId="72F4AB25" w14:textId="4AAAA752" w:rsidR="00420B9A" w:rsidRDefault="00887476" w:rsidP="009333B8">
      <w:pPr>
        <w:pStyle w:val="ListParagraph"/>
        <w:numPr>
          <w:ilvl w:val="0"/>
          <w:numId w:val="10"/>
        </w:numPr>
        <w:pBdr>
          <w:top w:val="nil"/>
          <w:left w:val="nil"/>
          <w:bottom w:val="nil"/>
          <w:right w:val="nil"/>
          <w:between w:val="nil"/>
          <w:bar w:val="nil"/>
        </w:pBdr>
        <w:spacing w:after="0"/>
        <w:contextualSpacing w:val="0"/>
      </w:pPr>
      <w:r>
        <w:t>E</w:t>
      </w:r>
      <w:r w:rsidR="00420B9A">
        <w:t>liminate</w:t>
      </w:r>
      <w:r>
        <w:t>s</w:t>
      </w:r>
      <w:r w:rsidR="00420B9A">
        <w:t xml:space="preserve"> the problem of a single point of failure</w:t>
      </w:r>
      <w:r>
        <w:t>; and</w:t>
      </w:r>
    </w:p>
    <w:p w14:paraId="2F5691B2" w14:textId="35727F1E" w:rsidR="00420B9A" w:rsidRDefault="00420B9A" w:rsidP="009333B8">
      <w:pPr>
        <w:pStyle w:val="ListParagraph"/>
        <w:numPr>
          <w:ilvl w:val="0"/>
          <w:numId w:val="10"/>
        </w:numPr>
        <w:pBdr>
          <w:top w:val="nil"/>
          <w:left w:val="nil"/>
          <w:bottom w:val="nil"/>
          <w:right w:val="nil"/>
          <w:between w:val="nil"/>
          <w:bar w:val="nil"/>
        </w:pBdr>
        <w:contextualSpacing w:val="0"/>
      </w:pPr>
      <w:r>
        <w:t xml:space="preserve">Also </w:t>
      </w:r>
      <w:r w:rsidR="00887476">
        <w:t xml:space="preserve">is </w:t>
      </w:r>
      <w:r>
        <w:t>known as a Standard Operating Procedure (SOP)</w:t>
      </w:r>
    </w:p>
    <w:p w14:paraId="272018D5" w14:textId="77777777" w:rsidR="00A905C8" w:rsidRPr="00A905C8" w:rsidRDefault="00420B9A" w:rsidP="009333B8">
      <w:pPr>
        <w:pStyle w:val="ListParagraph"/>
        <w:numPr>
          <w:ilvl w:val="2"/>
          <w:numId w:val="179"/>
        </w:numPr>
        <w:ind w:left="1800"/>
        <w:rPr>
          <w:rFonts w:cstheme="minorHAnsi"/>
        </w:rPr>
      </w:pPr>
      <w:r w:rsidRPr="00A905C8">
        <w:rPr>
          <w:lang w:val="nl-NL"/>
        </w:rPr>
        <w:t>Guidelines</w:t>
      </w:r>
    </w:p>
    <w:p w14:paraId="15655B94" w14:textId="77777777" w:rsidR="00420B9A" w:rsidRPr="00A905C8" w:rsidRDefault="00420B9A" w:rsidP="00656B6C">
      <w:pPr>
        <w:pStyle w:val="ListParagraph"/>
        <w:ind w:left="1080"/>
        <w:rPr>
          <w:rFonts w:cstheme="minorHAnsi"/>
        </w:rPr>
      </w:pPr>
      <w:r w:rsidRPr="00A905C8">
        <w:rPr>
          <w:rFonts w:cstheme="minorHAnsi"/>
        </w:rPr>
        <w:t>General statements, recommendations, or administrative instructions designed to achieve the policy's objectives by providing a framework within which to implement procedures.</w:t>
      </w:r>
    </w:p>
    <w:p w14:paraId="6C76F915" w14:textId="77777777" w:rsidR="00420B9A" w:rsidRPr="00A905C8" w:rsidRDefault="00420B9A" w:rsidP="009333B8">
      <w:pPr>
        <w:pStyle w:val="Body"/>
        <w:numPr>
          <w:ilvl w:val="0"/>
          <w:numId w:val="13"/>
        </w:numPr>
        <w:spacing w:after="0"/>
        <w:ind w:left="1440"/>
        <w:rPr>
          <w:rFonts w:asciiTheme="minorHAnsi" w:hAnsiTheme="minorHAnsi" w:cstheme="minorHAnsi"/>
        </w:rPr>
      </w:pPr>
      <w:r w:rsidRPr="00A905C8">
        <w:rPr>
          <w:rFonts w:asciiTheme="minorHAnsi" w:hAnsiTheme="minorHAnsi" w:cstheme="minorHAnsi"/>
        </w:rPr>
        <w:t>A guideline can change frequently based on the environment, and should be reviewed more frequently than standards and policies</w:t>
      </w:r>
    </w:p>
    <w:p w14:paraId="2B3E7CF0" w14:textId="77777777" w:rsidR="00420B9A" w:rsidRPr="00A905C8" w:rsidRDefault="00420B9A" w:rsidP="009333B8">
      <w:pPr>
        <w:pStyle w:val="Body"/>
        <w:numPr>
          <w:ilvl w:val="0"/>
          <w:numId w:val="13"/>
        </w:numPr>
        <w:ind w:left="1440"/>
        <w:rPr>
          <w:rFonts w:asciiTheme="minorHAnsi" w:hAnsiTheme="minorHAnsi" w:cstheme="minorHAnsi"/>
        </w:rPr>
      </w:pPr>
      <w:r w:rsidRPr="00A905C8">
        <w:rPr>
          <w:rFonts w:asciiTheme="minorHAnsi" w:hAnsiTheme="minorHAnsi" w:cstheme="minorHAnsi"/>
        </w:rPr>
        <w:t>A guideline is not mandatory, rather a suggestion of a best practice. Hence "guidelines" and "best practices" are interchangeable</w:t>
      </w:r>
    </w:p>
    <w:p w14:paraId="174BC2A8" w14:textId="77777777" w:rsidR="00A905C8" w:rsidRPr="00A905C8" w:rsidRDefault="00420B9A" w:rsidP="009333B8">
      <w:pPr>
        <w:pStyle w:val="ListParagraph"/>
        <w:numPr>
          <w:ilvl w:val="2"/>
          <w:numId w:val="179"/>
        </w:numPr>
        <w:ind w:left="1800"/>
        <w:rPr>
          <w:rFonts w:cstheme="minorHAnsi"/>
        </w:rPr>
      </w:pPr>
      <w:r w:rsidRPr="00301D59">
        <w:t>Forms and other documents</w:t>
      </w:r>
    </w:p>
    <w:p w14:paraId="507754BD" w14:textId="77777777" w:rsidR="00420B9A" w:rsidRPr="00A905C8" w:rsidRDefault="00420B9A" w:rsidP="00656B6C">
      <w:pPr>
        <w:pStyle w:val="ListParagraph"/>
        <w:ind w:left="1080"/>
        <w:rPr>
          <w:rFonts w:cstheme="minorHAnsi"/>
        </w:rPr>
      </w:pPr>
      <w:r w:rsidRPr="00A905C8">
        <w:rPr>
          <w:rFonts w:cstheme="minorHAnsi"/>
        </w:rPr>
        <w:t>Forms are used to create records, checklists, surveys, or other documentation used in the creation of a product or service. Records are a critical output of any procedure or work instruction and form the basis of process communication, audit material, and process improvement initiatives.</w:t>
      </w:r>
      <w:r w:rsidR="00B2264B">
        <w:rPr>
          <w:rFonts w:cstheme="minorHAnsi"/>
        </w:rPr>
        <w:br/>
      </w:r>
    </w:p>
    <w:p w14:paraId="0CFAA8DC" w14:textId="77777777" w:rsidR="00DD33D0" w:rsidRPr="00DD33D0" w:rsidRDefault="00DD33D0" w:rsidP="009333B8">
      <w:pPr>
        <w:pStyle w:val="ListParagraph"/>
        <w:keepNext/>
        <w:keepLines/>
        <w:numPr>
          <w:ilvl w:val="0"/>
          <w:numId w:val="6"/>
        </w:numPr>
        <w:spacing w:before="200" w:after="0" w:line="276" w:lineRule="auto"/>
        <w:contextualSpacing w:val="0"/>
        <w:outlineLvl w:val="1"/>
        <w:rPr>
          <w:rFonts w:asciiTheme="majorHAnsi" w:eastAsiaTheme="majorEastAsia" w:hAnsiTheme="majorHAnsi" w:cstheme="majorBidi"/>
          <w:b/>
          <w:bCs/>
          <w:vanish/>
          <w:color w:val="629DD1" w:themeColor="accent1"/>
          <w:sz w:val="26"/>
          <w:szCs w:val="26"/>
        </w:rPr>
      </w:pPr>
    </w:p>
    <w:p w14:paraId="072CBD5E" w14:textId="77777777" w:rsidR="00DD33D0" w:rsidRPr="00DD33D0" w:rsidRDefault="00DD33D0" w:rsidP="009333B8">
      <w:pPr>
        <w:pStyle w:val="ListParagraph"/>
        <w:keepNext/>
        <w:keepLines/>
        <w:numPr>
          <w:ilvl w:val="0"/>
          <w:numId w:val="6"/>
        </w:numPr>
        <w:spacing w:before="200" w:after="0" w:line="276" w:lineRule="auto"/>
        <w:contextualSpacing w:val="0"/>
        <w:outlineLvl w:val="1"/>
        <w:rPr>
          <w:rFonts w:asciiTheme="majorHAnsi" w:eastAsiaTheme="majorEastAsia" w:hAnsiTheme="majorHAnsi" w:cstheme="majorBidi"/>
          <w:b/>
          <w:bCs/>
          <w:vanish/>
          <w:color w:val="629DD1" w:themeColor="accent1"/>
          <w:sz w:val="26"/>
          <w:szCs w:val="26"/>
        </w:rPr>
      </w:pPr>
    </w:p>
    <w:p w14:paraId="5A697086" w14:textId="77777777" w:rsidR="00DD33D0" w:rsidRPr="00DD33D0" w:rsidRDefault="00DD33D0" w:rsidP="009333B8">
      <w:pPr>
        <w:pStyle w:val="ListParagraph"/>
        <w:keepNext/>
        <w:keepLines/>
        <w:numPr>
          <w:ilvl w:val="0"/>
          <w:numId w:val="6"/>
        </w:numPr>
        <w:spacing w:before="200" w:after="0" w:line="276" w:lineRule="auto"/>
        <w:contextualSpacing w:val="0"/>
        <w:outlineLvl w:val="1"/>
        <w:rPr>
          <w:rFonts w:asciiTheme="majorHAnsi" w:eastAsiaTheme="majorEastAsia" w:hAnsiTheme="majorHAnsi" w:cstheme="majorBidi"/>
          <w:b/>
          <w:bCs/>
          <w:vanish/>
          <w:color w:val="629DD1" w:themeColor="accent1"/>
          <w:sz w:val="26"/>
          <w:szCs w:val="26"/>
        </w:rPr>
      </w:pPr>
    </w:p>
    <w:p w14:paraId="1A0EB96C" w14:textId="77777777" w:rsidR="00DD33D0" w:rsidRPr="00DD33D0" w:rsidRDefault="00DD33D0" w:rsidP="009333B8">
      <w:pPr>
        <w:pStyle w:val="ListParagraph"/>
        <w:keepNext/>
        <w:keepLines/>
        <w:numPr>
          <w:ilvl w:val="1"/>
          <w:numId w:val="6"/>
        </w:numPr>
        <w:spacing w:before="200" w:after="0" w:line="276" w:lineRule="auto"/>
        <w:contextualSpacing w:val="0"/>
        <w:outlineLvl w:val="1"/>
        <w:rPr>
          <w:rFonts w:asciiTheme="majorHAnsi" w:eastAsiaTheme="majorEastAsia" w:hAnsiTheme="majorHAnsi" w:cstheme="majorBidi"/>
          <w:b/>
          <w:bCs/>
          <w:vanish/>
          <w:color w:val="629DD1" w:themeColor="accent1"/>
          <w:sz w:val="26"/>
          <w:szCs w:val="26"/>
        </w:rPr>
      </w:pPr>
    </w:p>
    <w:p w14:paraId="41EC178F" w14:textId="77777777" w:rsidR="00420B9A" w:rsidRDefault="00420B9A" w:rsidP="009333B8">
      <w:pPr>
        <w:pStyle w:val="Heading2"/>
        <w:numPr>
          <w:ilvl w:val="1"/>
          <w:numId w:val="180"/>
        </w:numPr>
        <w:ind w:left="1080" w:hanging="720"/>
      </w:pPr>
      <w:r w:rsidRPr="0028087A">
        <w:t>Responsibility</w:t>
      </w:r>
      <w:r>
        <w:t xml:space="preserve"> model</w:t>
      </w:r>
    </w:p>
    <w:p w14:paraId="1950B30D" w14:textId="77777777" w:rsidR="00420B9A" w:rsidRPr="001A23C5" w:rsidRDefault="00420B9A" w:rsidP="00656B6C">
      <w:pPr>
        <w:pStyle w:val="Body"/>
        <w:ind w:left="1080"/>
        <w:rPr>
          <w:rFonts w:asciiTheme="minorHAnsi" w:hAnsiTheme="minorHAnsi" w:cstheme="minorHAnsi"/>
        </w:rPr>
      </w:pPr>
      <w:r w:rsidRPr="001A23C5">
        <w:rPr>
          <w:rFonts w:asciiTheme="minorHAnsi" w:hAnsiTheme="minorHAnsi" w:cstheme="minorHAnsi"/>
        </w:rPr>
        <w:t>The Information Security Program uses the RACI model for assigning responsibility during its implementation.  The RACI model is a common project management tool.  The acronym RACI stands for:</w:t>
      </w:r>
      <w:r w:rsidRPr="001A23C5">
        <w:rPr>
          <w:rFonts w:asciiTheme="minorHAnsi" w:hAnsiTheme="minorHAnsi" w:cstheme="minorHAnsi"/>
        </w:rPr>
        <w:br/>
      </w:r>
      <w:r w:rsidRPr="001A23C5">
        <w:rPr>
          <w:rFonts w:asciiTheme="minorHAnsi" w:hAnsiTheme="minorHAnsi" w:cstheme="minorHAnsi"/>
        </w:rPr>
        <w:br/>
      </w:r>
      <w:r w:rsidRPr="001A23C5">
        <w:rPr>
          <w:rFonts w:asciiTheme="minorHAnsi" w:hAnsiTheme="minorHAnsi" w:cstheme="minorHAnsi"/>
          <w:b/>
          <w:bCs/>
        </w:rPr>
        <w:t>R</w:t>
      </w:r>
      <w:r w:rsidRPr="001A23C5">
        <w:rPr>
          <w:rFonts w:asciiTheme="minorHAnsi" w:hAnsiTheme="minorHAnsi" w:cstheme="minorHAnsi"/>
        </w:rPr>
        <w:t xml:space="preserve"> – </w:t>
      </w:r>
      <w:r w:rsidRPr="001A23C5">
        <w:rPr>
          <w:rFonts w:asciiTheme="minorHAnsi" w:hAnsiTheme="minorHAnsi" w:cstheme="minorHAnsi"/>
          <w:b/>
          <w:bCs/>
        </w:rPr>
        <w:t>Responsible</w:t>
      </w:r>
      <w:r w:rsidRPr="001A23C5">
        <w:rPr>
          <w:rFonts w:asciiTheme="minorHAnsi" w:hAnsiTheme="minorHAnsi" w:cstheme="minorHAnsi"/>
        </w:rPr>
        <w:t xml:space="preserve"> – (also </w:t>
      </w:r>
      <w:r w:rsidRPr="001A23C5">
        <w:rPr>
          <w:rFonts w:asciiTheme="minorHAnsi" w:hAnsiTheme="minorHAnsi" w:cstheme="minorHAnsi"/>
          <w:b/>
          <w:i/>
          <w:iCs/>
        </w:rPr>
        <w:t>Recommender</w:t>
      </w:r>
      <w:r w:rsidRPr="001A23C5">
        <w:rPr>
          <w:rFonts w:asciiTheme="minorHAnsi" w:hAnsiTheme="minorHAnsi" w:cstheme="minorHAnsi"/>
        </w:rPr>
        <w:t xml:space="preserve">) </w:t>
      </w:r>
      <w:r w:rsidRPr="001A23C5">
        <w:rPr>
          <w:rFonts w:asciiTheme="minorHAnsi" w:hAnsiTheme="minorHAnsi" w:cstheme="minorHAnsi"/>
        </w:rPr>
        <w:br/>
        <w:t xml:space="preserve">Those who do the work to achieve the task. There is at least one role with a participation type of </w:t>
      </w:r>
      <w:r w:rsidRPr="001A23C5">
        <w:rPr>
          <w:rFonts w:asciiTheme="minorHAnsi" w:hAnsiTheme="minorHAnsi" w:cstheme="minorHAnsi"/>
          <w:i/>
          <w:iCs/>
        </w:rPr>
        <w:t>Responsible</w:t>
      </w:r>
      <w:r w:rsidRPr="001A23C5">
        <w:rPr>
          <w:rFonts w:asciiTheme="minorHAnsi" w:hAnsiTheme="minorHAnsi" w:cstheme="minorHAnsi"/>
        </w:rPr>
        <w:t>, although others can be delegated to assist in the work required.</w:t>
      </w:r>
    </w:p>
    <w:p w14:paraId="47F1B4FE" w14:textId="77777777" w:rsidR="00420B9A" w:rsidRPr="001A23C5" w:rsidRDefault="00420B9A" w:rsidP="00656B6C">
      <w:pPr>
        <w:pStyle w:val="Body"/>
        <w:ind w:left="1080"/>
        <w:rPr>
          <w:rFonts w:asciiTheme="minorHAnsi" w:hAnsiTheme="minorHAnsi" w:cstheme="minorHAnsi"/>
        </w:rPr>
      </w:pPr>
      <w:r w:rsidRPr="001A23C5">
        <w:rPr>
          <w:rFonts w:asciiTheme="minorHAnsi" w:hAnsiTheme="minorHAnsi" w:cstheme="minorHAnsi"/>
          <w:b/>
          <w:bCs/>
        </w:rPr>
        <w:t>A</w:t>
      </w:r>
      <w:r w:rsidRPr="001A23C5">
        <w:rPr>
          <w:rFonts w:asciiTheme="minorHAnsi" w:hAnsiTheme="minorHAnsi" w:cstheme="minorHAnsi"/>
        </w:rPr>
        <w:t xml:space="preserve"> – </w:t>
      </w:r>
      <w:r w:rsidRPr="001A23C5">
        <w:rPr>
          <w:rFonts w:asciiTheme="minorHAnsi" w:hAnsiTheme="minorHAnsi" w:cstheme="minorHAnsi"/>
          <w:b/>
          <w:bCs/>
        </w:rPr>
        <w:t>Accountable</w:t>
      </w:r>
      <w:r w:rsidRPr="001A23C5">
        <w:rPr>
          <w:rFonts w:asciiTheme="minorHAnsi" w:hAnsiTheme="minorHAnsi" w:cstheme="minorHAnsi"/>
        </w:rPr>
        <w:t xml:space="preserve"> – (also </w:t>
      </w:r>
      <w:r w:rsidRPr="001A23C5">
        <w:rPr>
          <w:rFonts w:asciiTheme="minorHAnsi" w:hAnsiTheme="minorHAnsi" w:cstheme="minorHAnsi"/>
          <w:b/>
          <w:bCs/>
          <w:i/>
          <w:iCs/>
        </w:rPr>
        <w:t>Approver</w:t>
      </w:r>
      <w:r w:rsidRPr="001A23C5">
        <w:rPr>
          <w:rFonts w:asciiTheme="minorHAnsi" w:hAnsiTheme="minorHAnsi" w:cstheme="minorHAnsi"/>
        </w:rPr>
        <w:t xml:space="preserve"> or </w:t>
      </w:r>
      <w:r w:rsidRPr="001A23C5">
        <w:rPr>
          <w:rFonts w:asciiTheme="minorHAnsi" w:hAnsiTheme="minorHAnsi" w:cstheme="minorHAnsi"/>
          <w:i/>
          <w:iCs/>
        </w:rPr>
        <w:t>final approving authority</w:t>
      </w:r>
      <w:r w:rsidRPr="001A23C5">
        <w:rPr>
          <w:rFonts w:asciiTheme="minorHAnsi" w:hAnsiTheme="minorHAnsi" w:cstheme="minorHAnsi"/>
        </w:rPr>
        <w:t>)</w:t>
      </w:r>
      <w:r w:rsidRPr="001A23C5">
        <w:rPr>
          <w:rFonts w:asciiTheme="minorHAnsi" w:hAnsiTheme="minorHAnsi" w:cstheme="minorHAnsi"/>
        </w:rPr>
        <w:br/>
        <w:t xml:space="preserve">The one ultimately answerable for the correct and thorough completion of the deliverable or task, and the one who delegates the work to those </w:t>
      </w:r>
      <w:r w:rsidRPr="001A23C5">
        <w:rPr>
          <w:rFonts w:asciiTheme="minorHAnsi" w:hAnsiTheme="minorHAnsi" w:cstheme="minorHAnsi"/>
          <w:i/>
          <w:iCs/>
        </w:rPr>
        <w:t>Responsible</w:t>
      </w:r>
      <w:r w:rsidRPr="001A23C5">
        <w:rPr>
          <w:rFonts w:asciiTheme="minorHAnsi" w:hAnsiTheme="minorHAnsi" w:cstheme="minorHAnsi"/>
        </w:rPr>
        <w:t xml:space="preserve">. In other words, an </w:t>
      </w:r>
      <w:r w:rsidRPr="001A23C5">
        <w:rPr>
          <w:rFonts w:asciiTheme="minorHAnsi" w:hAnsiTheme="minorHAnsi" w:cstheme="minorHAnsi"/>
          <w:i/>
          <w:iCs/>
        </w:rPr>
        <w:t>Accountable</w:t>
      </w:r>
      <w:r w:rsidRPr="001A23C5">
        <w:rPr>
          <w:rFonts w:asciiTheme="minorHAnsi" w:hAnsiTheme="minorHAnsi" w:cstheme="minorHAnsi"/>
        </w:rPr>
        <w:t xml:space="preserve"> must sign off (approve) work that </w:t>
      </w:r>
      <w:r w:rsidRPr="001A23C5">
        <w:rPr>
          <w:rFonts w:asciiTheme="minorHAnsi" w:hAnsiTheme="minorHAnsi" w:cstheme="minorHAnsi"/>
          <w:i/>
          <w:iCs/>
        </w:rPr>
        <w:t>Responsible</w:t>
      </w:r>
      <w:r w:rsidRPr="001A23C5">
        <w:rPr>
          <w:rFonts w:asciiTheme="minorHAnsi" w:hAnsiTheme="minorHAnsi" w:cstheme="minorHAnsi"/>
        </w:rPr>
        <w:t xml:space="preserve"> provides. There </w:t>
      </w:r>
      <w:r w:rsidRPr="001A23C5">
        <w:rPr>
          <w:rFonts w:asciiTheme="minorHAnsi" w:hAnsiTheme="minorHAnsi" w:cstheme="minorHAnsi"/>
          <w:b/>
          <w:bCs/>
        </w:rPr>
        <w:t>must</w:t>
      </w:r>
      <w:r w:rsidRPr="001A23C5">
        <w:rPr>
          <w:rFonts w:asciiTheme="minorHAnsi" w:hAnsiTheme="minorHAnsi" w:cstheme="minorHAnsi"/>
        </w:rPr>
        <w:t xml:space="preserve"> be only one </w:t>
      </w:r>
      <w:r w:rsidRPr="001A23C5">
        <w:rPr>
          <w:rFonts w:asciiTheme="minorHAnsi" w:hAnsiTheme="minorHAnsi" w:cstheme="minorHAnsi"/>
          <w:i/>
          <w:iCs/>
        </w:rPr>
        <w:t>Accountable</w:t>
      </w:r>
      <w:r w:rsidRPr="001A23C5">
        <w:rPr>
          <w:rFonts w:asciiTheme="minorHAnsi" w:hAnsiTheme="minorHAnsi" w:cstheme="minorHAnsi"/>
        </w:rPr>
        <w:t xml:space="preserve"> specified for each task or deliverable.</w:t>
      </w:r>
    </w:p>
    <w:p w14:paraId="1EB941C0" w14:textId="77777777" w:rsidR="00420B9A" w:rsidRPr="001A23C5" w:rsidRDefault="00420B9A" w:rsidP="00656B6C">
      <w:pPr>
        <w:pStyle w:val="Body"/>
        <w:ind w:left="1080"/>
        <w:rPr>
          <w:rFonts w:asciiTheme="minorHAnsi" w:hAnsiTheme="minorHAnsi" w:cstheme="minorHAnsi"/>
        </w:rPr>
      </w:pPr>
      <w:r w:rsidRPr="001A23C5">
        <w:rPr>
          <w:rFonts w:asciiTheme="minorHAnsi" w:hAnsiTheme="minorHAnsi" w:cstheme="minorHAnsi"/>
          <w:b/>
          <w:bCs/>
        </w:rPr>
        <w:t>C</w:t>
      </w:r>
      <w:r w:rsidRPr="001A23C5">
        <w:rPr>
          <w:rFonts w:asciiTheme="minorHAnsi" w:hAnsiTheme="minorHAnsi" w:cstheme="minorHAnsi"/>
        </w:rPr>
        <w:t xml:space="preserve"> – </w:t>
      </w:r>
      <w:r w:rsidRPr="001A23C5">
        <w:rPr>
          <w:rFonts w:asciiTheme="minorHAnsi" w:hAnsiTheme="minorHAnsi" w:cstheme="minorHAnsi"/>
          <w:b/>
          <w:bCs/>
          <w:lang w:val="it-IT"/>
        </w:rPr>
        <w:t>Consulted</w:t>
      </w:r>
      <w:r w:rsidRPr="001A23C5">
        <w:rPr>
          <w:rFonts w:asciiTheme="minorHAnsi" w:hAnsiTheme="minorHAnsi" w:cstheme="minorHAnsi"/>
        </w:rPr>
        <w:t xml:space="preserve"> (sometimes </w:t>
      </w:r>
      <w:r w:rsidRPr="001A23C5">
        <w:rPr>
          <w:rFonts w:asciiTheme="minorHAnsi" w:hAnsiTheme="minorHAnsi" w:cstheme="minorHAnsi"/>
          <w:b/>
          <w:bCs/>
          <w:i/>
          <w:iCs/>
        </w:rPr>
        <w:t>Consultant</w:t>
      </w:r>
      <w:r w:rsidRPr="001A23C5">
        <w:rPr>
          <w:rFonts w:asciiTheme="minorHAnsi" w:hAnsiTheme="minorHAnsi" w:cstheme="minorHAnsi"/>
        </w:rPr>
        <w:t xml:space="preserve"> or </w:t>
      </w:r>
      <w:r w:rsidRPr="001A23C5">
        <w:rPr>
          <w:rFonts w:asciiTheme="minorHAnsi" w:hAnsiTheme="minorHAnsi" w:cstheme="minorHAnsi"/>
          <w:i/>
          <w:iCs/>
        </w:rPr>
        <w:t>counsel</w:t>
      </w:r>
      <w:r w:rsidRPr="001A23C5">
        <w:rPr>
          <w:rFonts w:asciiTheme="minorHAnsi" w:hAnsiTheme="minorHAnsi" w:cstheme="minorHAnsi"/>
        </w:rPr>
        <w:t>)</w:t>
      </w:r>
      <w:r w:rsidRPr="001A23C5">
        <w:rPr>
          <w:rFonts w:asciiTheme="minorHAnsi" w:hAnsiTheme="minorHAnsi" w:cstheme="minorHAnsi"/>
        </w:rPr>
        <w:br/>
        <w:t xml:space="preserve">Those whose opinions are sought, typically </w:t>
      </w:r>
      <w:hyperlink r:id="rId10" w:history="1">
        <w:r w:rsidRPr="001A23C5">
          <w:rPr>
            <w:rStyle w:val="Hyperlink0"/>
            <w:rFonts w:asciiTheme="minorHAnsi" w:hAnsiTheme="minorHAnsi" w:cstheme="minorHAnsi"/>
          </w:rPr>
          <w:t>subject matter experts</w:t>
        </w:r>
      </w:hyperlink>
      <w:r w:rsidRPr="001A23C5">
        <w:rPr>
          <w:rFonts w:asciiTheme="minorHAnsi" w:hAnsiTheme="minorHAnsi" w:cstheme="minorHAnsi"/>
        </w:rPr>
        <w:t xml:space="preserve"> and with whom there is two-way communication (in other words, the </w:t>
      </w:r>
      <w:r w:rsidRPr="001A23C5">
        <w:rPr>
          <w:rFonts w:asciiTheme="minorHAnsi" w:hAnsiTheme="minorHAnsi" w:cstheme="minorHAnsi"/>
          <w:i/>
        </w:rPr>
        <w:t>Consulted</w:t>
      </w:r>
      <w:r w:rsidRPr="001A23C5">
        <w:rPr>
          <w:rFonts w:asciiTheme="minorHAnsi" w:hAnsiTheme="minorHAnsi" w:cstheme="minorHAnsi"/>
        </w:rPr>
        <w:t xml:space="preserve"> contributes to the task or deliverable, providing input and suggested output).</w:t>
      </w:r>
    </w:p>
    <w:p w14:paraId="441C358C" w14:textId="77777777" w:rsidR="00420B9A" w:rsidRPr="001A23C5" w:rsidRDefault="00420B9A" w:rsidP="00656B6C">
      <w:pPr>
        <w:pStyle w:val="Body"/>
        <w:ind w:left="1080"/>
        <w:rPr>
          <w:rFonts w:asciiTheme="minorHAnsi" w:hAnsiTheme="minorHAnsi" w:cstheme="minorHAnsi"/>
        </w:rPr>
      </w:pPr>
      <w:r w:rsidRPr="001A23C5">
        <w:rPr>
          <w:rFonts w:asciiTheme="minorHAnsi" w:hAnsiTheme="minorHAnsi" w:cstheme="minorHAnsi"/>
          <w:b/>
          <w:bCs/>
        </w:rPr>
        <w:t>I</w:t>
      </w:r>
      <w:r w:rsidRPr="001A23C5">
        <w:rPr>
          <w:rFonts w:asciiTheme="minorHAnsi" w:hAnsiTheme="minorHAnsi" w:cstheme="minorHAnsi"/>
        </w:rPr>
        <w:t xml:space="preserve"> – </w:t>
      </w:r>
      <w:r w:rsidRPr="001A23C5">
        <w:rPr>
          <w:rFonts w:asciiTheme="minorHAnsi" w:hAnsiTheme="minorHAnsi" w:cstheme="minorHAnsi"/>
          <w:b/>
          <w:bCs/>
        </w:rPr>
        <w:t xml:space="preserve">Informed </w:t>
      </w:r>
      <w:r w:rsidRPr="001A23C5">
        <w:rPr>
          <w:rFonts w:asciiTheme="minorHAnsi" w:hAnsiTheme="minorHAnsi" w:cstheme="minorHAnsi"/>
        </w:rPr>
        <w:t xml:space="preserve">(also </w:t>
      </w:r>
      <w:r w:rsidRPr="001A23C5">
        <w:rPr>
          <w:rFonts w:asciiTheme="minorHAnsi" w:hAnsiTheme="minorHAnsi" w:cstheme="minorHAnsi"/>
          <w:i/>
          <w:iCs/>
        </w:rPr>
        <w:t>Informee</w:t>
      </w:r>
      <w:r w:rsidRPr="001A23C5">
        <w:rPr>
          <w:rFonts w:asciiTheme="minorHAnsi" w:hAnsiTheme="minorHAnsi" w:cstheme="minorHAnsi"/>
        </w:rPr>
        <w:t>)</w:t>
      </w:r>
      <w:r w:rsidRPr="001A23C5">
        <w:rPr>
          <w:rFonts w:asciiTheme="minorHAnsi" w:hAnsiTheme="minorHAnsi" w:cstheme="minorHAnsi"/>
        </w:rPr>
        <w:br/>
        <w:t>Those who are kept up-to-date on progress, often only on completion of the task or deliverable; and with whom there is just one-way communication (as receivers to information).</w:t>
      </w:r>
    </w:p>
    <w:p w14:paraId="093F0AB0" w14:textId="77777777" w:rsidR="00420B9A" w:rsidRDefault="00420B9A" w:rsidP="009333B8">
      <w:pPr>
        <w:pStyle w:val="Heading2"/>
        <w:numPr>
          <w:ilvl w:val="1"/>
          <w:numId w:val="181"/>
        </w:numPr>
        <w:pBdr>
          <w:top w:val="nil"/>
          <w:left w:val="nil"/>
          <w:bottom w:val="nil"/>
          <w:right w:val="nil"/>
          <w:between w:val="nil"/>
          <w:bar w:val="nil"/>
        </w:pBdr>
        <w:spacing w:before="40" w:line="259" w:lineRule="auto"/>
        <w:ind w:left="1080" w:hanging="720"/>
      </w:pPr>
      <w:r w:rsidRPr="0028087A">
        <w:t>Implementation</w:t>
      </w:r>
      <w:r>
        <w:rPr>
          <w:lang w:val="fr-FR"/>
        </w:rPr>
        <w:t xml:space="preserve"> Process</w:t>
      </w:r>
    </w:p>
    <w:p w14:paraId="5289B8B6" w14:textId="77777777" w:rsidR="00420B9A" w:rsidRPr="001A23C5" w:rsidRDefault="00420B9A" w:rsidP="009333B8">
      <w:pPr>
        <w:pStyle w:val="Body"/>
        <w:numPr>
          <w:ilvl w:val="0"/>
          <w:numId w:val="11"/>
        </w:numPr>
        <w:spacing w:after="0"/>
        <w:ind w:left="1440"/>
        <w:rPr>
          <w:rFonts w:asciiTheme="minorHAnsi" w:hAnsiTheme="minorHAnsi" w:cstheme="minorHAnsi"/>
        </w:rPr>
      </w:pPr>
      <w:r w:rsidRPr="001A23C5">
        <w:rPr>
          <w:rFonts w:asciiTheme="minorHAnsi" w:hAnsiTheme="minorHAnsi" w:cstheme="minorHAnsi"/>
        </w:rPr>
        <w:t>BOD approves Information Security Policy and ISP Implementation Guidelines</w:t>
      </w:r>
    </w:p>
    <w:p w14:paraId="087FEF7E" w14:textId="77777777" w:rsidR="00420B9A" w:rsidRPr="001A23C5" w:rsidRDefault="00420B9A" w:rsidP="009333B8">
      <w:pPr>
        <w:pStyle w:val="Body"/>
        <w:numPr>
          <w:ilvl w:val="0"/>
          <w:numId w:val="11"/>
        </w:numPr>
        <w:spacing w:after="0"/>
        <w:ind w:left="1440"/>
        <w:rPr>
          <w:rFonts w:asciiTheme="minorHAnsi" w:hAnsiTheme="minorHAnsi" w:cstheme="minorHAnsi"/>
        </w:rPr>
      </w:pPr>
      <w:r w:rsidRPr="001A23C5">
        <w:rPr>
          <w:rFonts w:asciiTheme="minorHAnsi" w:hAnsiTheme="minorHAnsi" w:cstheme="minorHAnsi"/>
        </w:rPr>
        <w:t xml:space="preserve">CEO establishes Information Security Policy Steering Committee (ISSC) </w:t>
      </w:r>
    </w:p>
    <w:p w14:paraId="2F13724A" w14:textId="4FF030DD" w:rsidR="00420B9A" w:rsidRPr="001A23C5" w:rsidRDefault="00274523" w:rsidP="009333B8">
      <w:pPr>
        <w:pStyle w:val="Body"/>
        <w:numPr>
          <w:ilvl w:val="0"/>
          <w:numId w:val="11"/>
        </w:numPr>
        <w:spacing w:after="0"/>
        <w:ind w:left="1440"/>
        <w:rPr>
          <w:rFonts w:asciiTheme="minorHAnsi" w:hAnsiTheme="minorHAnsi" w:cstheme="minorHAnsi"/>
        </w:rPr>
      </w:pPr>
      <w:r>
        <w:rPr>
          <w:rFonts w:asciiTheme="minorHAnsi" w:hAnsiTheme="minorHAnsi" w:cstheme="minorHAnsi"/>
        </w:rPr>
        <w:t>ISSC</w:t>
      </w:r>
      <w:r w:rsidR="00420B9A" w:rsidRPr="001A23C5">
        <w:rPr>
          <w:rFonts w:asciiTheme="minorHAnsi" w:hAnsiTheme="minorHAnsi" w:cstheme="minorHAnsi"/>
        </w:rPr>
        <w:t xml:space="preserve"> shall include staff from Administration, IT, E&amp;O, Accounting, HR, Legal, etc.</w:t>
      </w:r>
    </w:p>
    <w:p w14:paraId="18145F98" w14:textId="77777777" w:rsidR="00420B9A" w:rsidRPr="001A23C5" w:rsidRDefault="00420B9A" w:rsidP="009333B8">
      <w:pPr>
        <w:pStyle w:val="Body"/>
        <w:numPr>
          <w:ilvl w:val="0"/>
          <w:numId w:val="11"/>
        </w:numPr>
        <w:spacing w:after="0"/>
        <w:ind w:left="1440"/>
        <w:rPr>
          <w:rFonts w:asciiTheme="minorHAnsi" w:hAnsiTheme="minorHAnsi" w:cstheme="minorHAnsi"/>
        </w:rPr>
      </w:pPr>
      <w:r w:rsidRPr="001A23C5">
        <w:rPr>
          <w:rFonts w:asciiTheme="minorHAnsi" w:hAnsiTheme="minorHAnsi" w:cstheme="minorHAnsi"/>
        </w:rPr>
        <w:t>ISSC responsibilities include:</w:t>
      </w:r>
    </w:p>
    <w:p w14:paraId="60A41479"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Coordinate initial assets inventory and data classification</w:t>
      </w:r>
      <w:r w:rsidRPr="001A23C5">
        <w:rPr>
          <w:rFonts w:asciiTheme="minorHAnsi" w:hAnsiTheme="minorHAnsi" w:cstheme="minorHAnsi"/>
        </w:rPr>
        <w:br/>
        <w:t xml:space="preserve">ISPL includes </w:t>
      </w:r>
      <w:r w:rsidRPr="001A23C5">
        <w:rPr>
          <w:rFonts w:asciiTheme="minorHAnsi" w:hAnsiTheme="minorHAnsi" w:cstheme="minorHAnsi"/>
          <w:i/>
        </w:rPr>
        <w:t>Data Classification Policy</w:t>
      </w:r>
      <w:r w:rsidRPr="001A23C5">
        <w:rPr>
          <w:rFonts w:asciiTheme="minorHAnsi" w:hAnsiTheme="minorHAnsi" w:cstheme="minorHAnsi"/>
        </w:rPr>
        <w:t xml:space="preserve"> and </w:t>
      </w:r>
      <w:r w:rsidRPr="001A23C5">
        <w:rPr>
          <w:rFonts w:asciiTheme="minorHAnsi" w:hAnsiTheme="minorHAnsi" w:cstheme="minorHAnsi"/>
          <w:i/>
        </w:rPr>
        <w:t>Data Assets Inventory Form</w:t>
      </w:r>
    </w:p>
    <w:p w14:paraId="11B24006"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Coordinate risk assessment</w:t>
      </w:r>
      <w:r w:rsidRPr="001A23C5">
        <w:rPr>
          <w:rFonts w:asciiTheme="minorHAnsi" w:hAnsiTheme="minorHAnsi" w:cstheme="minorHAnsi"/>
        </w:rPr>
        <w:br/>
        <w:t xml:space="preserve">ISPL </w:t>
      </w:r>
      <w:r w:rsidRPr="001A23C5">
        <w:rPr>
          <w:rFonts w:asciiTheme="minorHAnsi" w:hAnsiTheme="minorHAnsi" w:cstheme="minorHAnsi"/>
          <w:i/>
        </w:rPr>
        <w:t>Risk Assessment Procedure</w:t>
      </w:r>
      <w:r w:rsidRPr="001A23C5">
        <w:rPr>
          <w:rFonts w:asciiTheme="minorHAnsi" w:hAnsiTheme="minorHAnsi" w:cstheme="minorHAnsi"/>
        </w:rPr>
        <w:t xml:space="preserve"> and </w:t>
      </w:r>
      <w:r w:rsidRPr="001A23C5">
        <w:rPr>
          <w:rFonts w:asciiTheme="minorHAnsi" w:hAnsiTheme="minorHAnsi" w:cstheme="minorHAnsi"/>
          <w:i/>
        </w:rPr>
        <w:t>Risk Register Form</w:t>
      </w:r>
      <w:r w:rsidRPr="001A23C5">
        <w:rPr>
          <w:rFonts w:asciiTheme="minorHAnsi" w:hAnsiTheme="minorHAnsi" w:cstheme="minorHAnsi"/>
        </w:rPr>
        <w:t xml:space="preserve"> can be used to support risk assessment.</w:t>
      </w:r>
    </w:p>
    <w:p w14:paraId="7E4EE664"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Coordinate gap analysis</w:t>
      </w:r>
      <w:r w:rsidRPr="001A23C5">
        <w:rPr>
          <w:rFonts w:asciiTheme="minorHAnsi" w:hAnsiTheme="minorHAnsi" w:cstheme="minorHAnsi"/>
        </w:rPr>
        <w:br/>
        <w:t>PCI DSS (Payment Card Industry Data Security Standard) or DOE C2M2 (Cyber can be used for gap analysis which can be conducted internally or by external consultant.</w:t>
      </w:r>
    </w:p>
    <w:p w14:paraId="33E97DB8"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 xml:space="preserve">Meeting on regular basis and use project management tools to plan, monitor and control implementation process </w:t>
      </w:r>
    </w:p>
    <w:p w14:paraId="1F88CB32"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 xml:space="preserve"> Selecting policies and standards for implementation</w:t>
      </w:r>
    </w:p>
    <w:p w14:paraId="5DE7FE5A"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 xml:space="preserve"> Using RACI model for assigning responsibilities for implementing each policy and standard</w:t>
      </w:r>
    </w:p>
    <w:p w14:paraId="28159D96" w14:textId="77777777" w:rsidR="00420B9A" w:rsidRPr="001A23C5" w:rsidRDefault="00420B9A" w:rsidP="009333B8">
      <w:pPr>
        <w:pStyle w:val="Body"/>
        <w:numPr>
          <w:ilvl w:val="2"/>
          <w:numId w:val="14"/>
        </w:numPr>
        <w:ind w:left="1620"/>
        <w:rPr>
          <w:rFonts w:asciiTheme="minorHAnsi" w:hAnsiTheme="minorHAnsi" w:cstheme="minorHAnsi"/>
        </w:rPr>
      </w:pPr>
      <w:r w:rsidRPr="001A23C5">
        <w:rPr>
          <w:rFonts w:asciiTheme="minorHAnsi" w:hAnsiTheme="minorHAnsi" w:cstheme="minorHAnsi"/>
        </w:rPr>
        <w:t xml:space="preserve"> Review and recommend changes to existing policies, procedures, standards and forms</w:t>
      </w:r>
    </w:p>
    <w:p w14:paraId="604B43A1" w14:textId="77777777" w:rsidR="00420B9A" w:rsidRPr="001F617F" w:rsidRDefault="00420B9A" w:rsidP="0031117A">
      <w:pPr>
        <w:pStyle w:val="Heading1"/>
      </w:pPr>
      <w:r w:rsidRPr="001F617F">
        <w:t xml:space="preserve">Related </w:t>
      </w:r>
      <w:r w:rsidRPr="00DD33D0">
        <w:t>Standards</w:t>
      </w:r>
      <w:r w:rsidRPr="001F617F">
        <w:t>, Policies, and Processes</w:t>
      </w:r>
    </w:p>
    <w:p w14:paraId="426E63E9" w14:textId="723B5156" w:rsidR="00420B9A" w:rsidRDefault="00420B9A" w:rsidP="009333B8">
      <w:pPr>
        <w:pStyle w:val="ListParagraph"/>
        <w:numPr>
          <w:ilvl w:val="0"/>
          <w:numId w:val="12"/>
        </w:numPr>
        <w:pBdr>
          <w:top w:val="nil"/>
          <w:left w:val="nil"/>
          <w:bottom w:val="nil"/>
          <w:right w:val="nil"/>
          <w:between w:val="nil"/>
          <w:bar w:val="nil"/>
        </w:pBdr>
        <w:ind w:left="810"/>
        <w:contextualSpacing w:val="0"/>
      </w:pPr>
      <w:r>
        <w:t>Inspired by “Cyber Security Policy Framework”</w:t>
      </w:r>
      <w:r w:rsidR="00E508C9">
        <w:t xml:space="preserve"> </w:t>
      </w:r>
      <w:r>
        <w:br/>
      </w:r>
      <w:r w:rsidR="00AD42A5">
        <w:rPr>
          <w:rStyle w:val="Link"/>
        </w:rPr>
        <w:t>(</w:t>
      </w:r>
      <w:hyperlink r:id="rId11" w:history="1">
        <w:r w:rsidR="0039733E" w:rsidRPr="00A66525">
          <w:rPr>
            <w:rStyle w:val="Hyperlink"/>
            <w:u w:color="0000FF"/>
          </w:rPr>
          <w:t>https://www.nreca.coop/wp-content/uploads/2015/09/cyber_security_policy_framework.docx</w:t>
        </w:r>
      </w:hyperlink>
      <w:r w:rsidR="0039733E">
        <w:rPr>
          <w:rStyle w:val="Link"/>
        </w:rPr>
        <w:t xml:space="preserve">) </w:t>
      </w:r>
      <w:r>
        <w:rPr>
          <w:rStyle w:val="Link"/>
        </w:rPr>
        <w:br/>
      </w:r>
      <w:r>
        <w:t>The Cyber Security Policy Framework was created by the Kentucky Association of Electric Cooperatives (KAEC) Information Technology (IT) Association - Cyber Security Subcommittee.</w:t>
      </w:r>
    </w:p>
    <w:p w14:paraId="3CD992A9" w14:textId="77777777" w:rsidR="00E508C9" w:rsidRDefault="00E508C9" w:rsidP="00B03ADC">
      <w:pPr>
        <w:pStyle w:val="ListParagraph"/>
        <w:pBdr>
          <w:top w:val="nil"/>
          <w:left w:val="nil"/>
          <w:bottom w:val="nil"/>
          <w:right w:val="nil"/>
          <w:between w:val="nil"/>
          <w:bar w:val="nil"/>
        </w:pBdr>
        <w:ind w:left="810"/>
        <w:contextualSpacing w:val="0"/>
      </w:pPr>
    </w:p>
    <w:p w14:paraId="1FFBB51E" w14:textId="77777777" w:rsidR="00420B9A" w:rsidRDefault="00420B9A" w:rsidP="0031117A">
      <w:pPr>
        <w:pStyle w:val="Heading1"/>
      </w:pPr>
      <w:r w:rsidRPr="001F617F">
        <w:t xml:space="preserve">Governance </w:t>
      </w:r>
      <w:r w:rsidRPr="00DD33D0">
        <w:t>Responsibilities</w:t>
      </w:r>
    </w:p>
    <w:p w14:paraId="6011A76C" w14:textId="2050B62C" w:rsidR="00BC0379" w:rsidRPr="00BC0379" w:rsidRDefault="00BC0379" w:rsidP="004523D8">
      <w:r>
        <w:t>The ISP uses the RACI model for assigning responsibility.</w:t>
      </w:r>
    </w:p>
    <w:tbl>
      <w:tblPr>
        <w:tblStyle w:val="GridTable4-Accent21"/>
        <w:tblW w:w="9350" w:type="dxa"/>
        <w:tblLayout w:type="fixed"/>
        <w:tblLook w:val="04A0" w:firstRow="1" w:lastRow="0" w:firstColumn="1" w:lastColumn="0" w:noHBand="0" w:noVBand="1"/>
      </w:tblPr>
      <w:tblGrid>
        <w:gridCol w:w="2337"/>
        <w:gridCol w:w="2337"/>
        <w:gridCol w:w="2338"/>
        <w:gridCol w:w="2338"/>
      </w:tblGrid>
      <w:tr w:rsidR="00420B9A" w14:paraId="376E3FA0" w14:textId="77777777" w:rsidTr="00021B0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337" w:type="dxa"/>
          </w:tcPr>
          <w:p w14:paraId="166000B7" w14:textId="77777777" w:rsidR="00420B9A" w:rsidRDefault="00420B9A">
            <w:pPr>
              <w:pStyle w:val="Body"/>
              <w:jc w:val="center"/>
            </w:pPr>
            <w:r>
              <w:rPr>
                <w:color w:val="FFFFFF"/>
                <w:u w:color="FFFFFF"/>
              </w:rPr>
              <w:t>Responsible</w:t>
            </w:r>
          </w:p>
        </w:tc>
        <w:tc>
          <w:tcPr>
            <w:tcW w:w="2337" w:type="dxa"/>
          </w:tcPr>
          <w:p w14:paraId="7C082486" w14:textId="77777777" w:rsidR="00420B9A" w:rsidRDefault="00420B9A">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Accountable</w:t>
            </w:r>
          </w:p>
        </w:tc>
        <w:tc>
          <w:tcPr>
            <w:tcW w:w="2338" w:type="dxa"/>
          </w:tcPr>
          <w:p w14:paraId="5F6E23C9" w14:textId="77777777" w:rsidR="00420B9A" w:rsidRDefault="00420B9A">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Consulted</w:t>
            </w:r>
          </w:p>
        </w:tc>
        <w:tc>
          <w:tcPr>
            <w:tcW w:w="2338" w:type="dxa"/>
          </w:tcPr>
          <w:p w14:paraId="1F5FC0A5" w14:textId="77777777" w:rsidR="00420B9A" w:rsidRDefault="00420B9A">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Informed</w:t>
            </w:r>
          </w:p>
        </w:tc>
      </w:tr>
      <w:tr w:rsidR="00420B9A" w14:paraId="0E4F277C" w14:textId="77777777" w:rsidTr="00021B04">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337" w:type="dxa"/>
          </w:tcPr>
          <w:p w14:paraId="1B8BB41F" w14:textId="77777777" w:rsidR="00420B9A" w:rsidRPr="003B3F44" w:rsidRDefault="00420B9A">
            <w:pPr>
              <w:pStyle w:val="Body"/>
              <w:spacing w:after="0" w:line="240" w:lineRule="auto"/>
              <w:jc w:val="center"/>
            </w:pPr>
            <w:r>
              <w:rPr>
                <w:b w:val="0"/>
                <w:bCs w:val="0"/>
              </w:rPr>
              <w:br/>
            </w:r>
            <w:r w:rsidRPr="003B3F44">
              <w:rPr>
                <w:bCs w:val="0"/>
              </w:rPr>
              <w:t>CEO/GM</w:t>
            </w:r>
            <w:r w:rsidRPr="003B3F44">
              <w:rPr>
                <w:bCs w:val="0"/>
              </w:rPr>
              <w:br/>
            </w:r>
          </w:p>
        </w:tc>
        <w:tc>
          <w:tcPr>
            <w:tcW w:w="2337" w:type="dxa"/>
          </w:tcPr>
          <w:p w14:paraId="5989B851"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1370D7F7"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BOD</w:t>
            </w:r>
          </w:p>
        </w:tc>
        <w:tc>
          <w:tcPr>
            <w:tcW w:w="2338" w:type="dxa"/>
          </w:tcPr>
          <w:p w14:paraId="6B19DEB8"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5A821754"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Legal Department</w:t>
            </w:r>
          </w:p>
        </w:tc>
        <w:tc>
          <w:tcPr>
            <w:tcW w:w="2338" w:type="dxa"/>
          </w:tcPr>
          <w:p w14:paraId="4BC5CD4D"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7E61F05D" w14:textId="77777777" w:rsidR="00420B9A" w:rsidRDefault="00420B9A">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All Employees</w:t>
            </w:r>
          </w:p>
        </w:tc>
      </w:tr>
    </w:tbl>
    <w:p w14:paraId="0DAA71BA" w14:textId="3304F95D" w:rsidR="00420B9A" w:rsidRDefault="00420B9A" w:rsidP="002B6280">
      <w:pPr>
        <w:pStyle w:val="Body"/>
        <w:jc w:val="center"/>
        <w:rPr>
          <w:i/>
          <w:iCs/>
          <w:color w:val="0070C0"/>
          <w:u w:color="0070C0"/>
        </w:rPr>
      </w:pPr>
      <w:r>
        <w:rPr>
          <w:i/>
          <w:iCs/>
          <w:color w:val="0070C0"/>
          <w:u w:color="0070C0"/>
        </w:rPr>
        <w:t xml:space="preserve">[Explanatory Note:  </w:t>
      </w:r>
      <w:r w:rsidR="0019142C">
        <w:rPr>
          <w:i/>
          <w:iCs/>
          <w:color w:val="0070C0"/>
          <w:u w:color="0070C0"/>
        </w:rPr>
        <w:t>Utility</w:t>
      </w:r>
      <w:r>
        <w:rPr>
          <w:i/>
          <w:iCs/>
          <w:color w:val="0070C0"/>
          <w:u w:color="0070C0"/>
        </w:rPr>
        <w:t xml:space="preserve"> should feel free to alter section to reflect the specific responsibility requirement determined by </w:t>
      </w:r>
      <w:r w:rsidR="00465FD7">
        <w:rPr>
          <w:i/>
          <w:iCs/>
          <w:color w:val="0070C0"/>
          <w:u w:color="0070C0"/>
        </w:rPr>
        <w:t>&lt;Utility Name&gt; management</w:t>
      </w:r>
      <w:r>
        <w:rPr>
          <w:i/>
          <w:iCs/>
          <w:color w:val="0070C0"/>
          <w:u w:color="0070C0"/>
        </w:rPr>
        <w:t>.]</w:t>
      </w:r>
    </w:p>
    <w:p w14:paraId="5ED9B074" w14:textId="77777777" w:rsidR="00420B9A" w:rsidRPr="001F617F" w:rsidRDefault="00420B9A" w:rsidP="0031117A">
      <w:pPr>
        <w:pStyle w:val="Heading1"/>
      </w:pPr>
      <w:r w:rsidRPr="00DD33D0">
        <w:t>Approval</w:t>
      </w:r>
    </w:p>
    <w:p w14:paraId="35D31CC5" w14:textId="77777777" w:rsidR="0039733E" w:rsidRDefault="0039733E" w:rsidP="0039733E">
      <w:pPr>
        <w:spacing w:after="0" w:line="240" w:lineRule="auto"/>
      </w:pPr>
    </w:p>
    <w:p w14:paraId="7F03900C" w14:textId="77777777" w:rsidR="0039733E" w:rsidRDefault="0039733E" w:rsidP="0039733E">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46BA1E6F" w14:textId="77777777" w:rsidR="0039733E" w:rsidRDefault="0039733E" w:rsidP="0039733E">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727D0A60" w14:textId="77777777" w:rsidR="00420B9A" w:rsidRDefault="00420B9A">
      <w:pPr>
        <w:pStyle w:val="Body"/>
        <w:spacing w:after="0" w:line="240" w:lineRule="auto"/>
      </w:pPr>
    </w:p>
    <w:p w14:paraId="306040AD" w14:textId="77777777" w:rsidR="00420B9A" w:rsidRPr="001F617F" w:rsidRDefault="00420B9A" w:rsidP="0031117A">
      <w:pPr>
        <w:pStyle w:val="Heading1"/>
      </w:pPr>
      <w:r>
        <w:t xml:space="preserve">Revision </w:t>
      </w:r>
      <w:r w:rsidRPr="00DD33D0">
        <w:t>History</w:t>
      </w:r>
    </w:p>
    <w:p w14:paraId="779DECD5" w14:textId="77777777" w:rsidR="00420B9A" w:rsidRPr="00DF5A62" w:rsidRDefault="00420B9A">
      <w:pPr>
        <w:pStyle w:val="Heading10"/>
        <w:rPr>
          <w:b w:val="0"/>
        </w:rPr>
      </w:pPr>
    </w:p>
    <w:tbl>
      <w:tblPr>
        <w:tblW w:w="9350" w:type="dxa"/>
        <w:tblInd w:w="4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5"/>
        <w:gridCol w:w="1980"/>
        <w:gridCol w:w="5395"/>
      </w:tblGrid>
      <w:tr w:rsidR="00420B9A" w14:paraId="0A8CCB71" w14:textId="77777777" w:rsidTr="002B6280">
        <w:trPr>
          <w:trHeight w:val="25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3AC3B" w14:textId="77777777" w:rsidR="00420B9A" w:rsidRDefault="00420B9A">
            <w:pPr>
              <w:pStyle w:val="Body"/>
            </w:pPr>
            <w:r>
              <w:t>Date of Change(s)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308DC" w14:textId="77777777" w:rsidR="00420B9A" w:rsidRDefault="00420B9A">
            <w:pPr>
              <w:pStyle w:val="Body"/>
              <w:spacing w:after="0" w:line="240" w:lineRule="auto"/>
            </w:pPr>
            <w:r>
              <w:t>Revised by</w:t>
            </w:r>
          </w:p>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7A6F4" w14:textId="77777777" w:rsidR="00420B9A" w:rsidRDefault="00420B9A">
            <w:pPr>
              <w:pStyle w:val="Body"/>
              <w:spacing w:after="0" w:line="240" w:lineRule="auto"/>
            </w:pPr>
            <w:r>
              <w:t>Summary of Change(s)</w:t>
            </w:r>
          </w:p>
        </w:tc>
      </w:tr>
      <w:tr w:rsidR="00420B9A" w14:paraId="3D454079" w14:textId="77777777" w:rsidTr="002B6280">
        <w:trPr>
          <w:trHeight w:val="25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557A3" w14:textId="77777777" w:rsidR="00420B9A" w:rsidRDefault="00420B9A"/>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FDACA" w14:textId="77777777" w:rsidR="00420B9A" w:rsidRDefault="00420B9A"/>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9314E" w14:textId="77777777" w:rsidR="00420B9A" w:rsidRDefault="00420B9A"/>
        </w:tc>
      </w:tr>
      <w:tr w:rsidR="00420B9A" w14:paraId="67C4ACA1" w14:textId="77777777" w:rsidTr="002B6280">
        <w:trPr>
          <w:trHeight w:val="25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3235" w14:textId="77777777" w:rsidR="00420B9A" w:rsidRDefault="00420B9A"/>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DE357" w14:textId="77777777" w:rsidR="00420B9A" w:rsidRDefault="00420B9A"/>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2A0A" w14:textId="77777777" w:rsidR="00420B9A" w:rsidRDefault="00420B9A"/>
        </w:tc>
      </w:tr>
      <w:tr w:rsidR="00420B9A" w14:paraId="63EB52CC" w14:textId="77777777" w:rsidTr="002B6280">
        <w:trPr>
          <w:trHeight w:val="25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8502" w14:textId="77777777" w:rsidR="00420B9A" w:rsidRDefault="00420B9A"/>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ACD6" w14:textId="77777777" w:rsidR="00420B9A" w:rsidRDefault="00420B9A"/>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98B8C" w14:textId="77777777" w:rsidR="00420B9A" w:rsidRDefault="00420B9A"/>
        </w:tc>
      </w:tr>
      <w:tr w:rsidR="00420B9A" w14:paraId="2A769069" w14:textId="77777777" w:rsidTr="002B6280">
        <w:trPr>
          <w:trHeight w:val="250"/>
        </w:trPr>
        <w:tc>
          <w:tcPr>
            <w:tcW w:w="1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44D40" w14:textId="77777777" w:rsidR="00420B9A" w:rsidRDefault="00420B9A"/>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474BA" w14:textId="77777777" w:rsidR="00420B9A" w:rsidRDefault="00420B9A"/>
        </w:tc>
        <w:tc>
          <w:tcPr>
            <w:tcW w:w="5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F3A9" w14:textId="77777777" w:rsidR="00420B9A" w:rsidRDefault="00420B9A"/>
        </w:tc>
      </w:tr>
    </w:tbl>
    <w:p w14:paraId="7CD5A2DF" w14:textId="2E05E6BB" w:rsidR="00DD33D0" w:rsidRDefault="00DD33D0"/>
    <w:sectPr w:rsidR="00DD33D0" w:rsidSect="000A4092">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23360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0A4092">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7E1731F5"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4092">
      <w:rPr>
        <w:rFonts w:eastAsiaTheme="minorEastAsia"/>
      </w:rPr>
      <w:t>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092"/>
    <w:rsid w:val="000A45BE"/>
    <w:rsid w:val="000B7F4A"/>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14CE"/>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reca.coop/wp-content/uploads/2015/09/cyber_security_policy_framework.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n.wikipedia.org/wiki/Subject_matter_expert"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0A63B-E82B-4079-B57B-D42C3632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5</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3</cp:revision>
  <dcterms:created xsi:type="dcterms:W3CDTF">2016-06-10T13:40:00Z</dcterms:created>
  <dcterms:modified xsi:type="dcterms:W3CDTF">2016-06-10T13:45:00Z</dcterms:modified>
</cp:coreProperties>
</file>