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Arquitectura General de la </w:t>
      </w:r>
      <w:r w:rsidR="00005F82" w:rsidRPr="00BA30D6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B17126">
        <w:rPr>
          <w:rFonts w:ascii="Arial" w:hAnsi="Arial" w:cs="Arial"/>
          <w:b/>
          <w:bCs/>
          <w:color w:val="000000"/>
          <w:shd w:val="clear" w:color="auto" w:fill="F1F1F1"/>
        </w:rPr>
        <w:t>8948 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Pr="00BA30D6" w:rsidRDefault="00496DF3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</w:p>
    <w:p w:rsidR="0074423A" w:rsidRDefault="00B1712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levantamiento automático de las pignoraciones desde el sistema en el </w:t>
      </w:r>
      <w:commentRangeStart w:id="3"/>
      <w:r>
        <w:rPr>
          <w:rFonts w:ascii="Arial" w:hAnsi="Arial" w:cs="Arial"/>
          <w:sz w:val="22"/>
        </w:rPr>
        <w:t xml:space="preserve">proceso Batch </w:t>
      </w:r>
      <w:commentRangeEnd w:id="3"/>
      <w:r w:rsidR="00931D0C">
        <w:rPr>
          <w:rStyle w:val="Refdecomentario"/>
          <w:rFonts w:eastAsia="WenQuanYi Micro Hei"/>
          <w:kern w:val="1"/>
          <w:lang w:val="es-ES_tradnl" w:eastAsia="en-US"/>
        </w:rPr>
        <w:commentReference w:id="3"/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Cronograma de </w:t>
      </w:r>
      <w:r w:rsidR="00FD4C7C" w:rsidRPr="00BA30D6">
        <w:rPr>
          <w:rFonts w:ascii="Arial" w:hAnsi="Arial" w:cs="Arial"/>
          <w:b/>
          <w:sz w:val="22"/>
        </w:rPr>
        <w:t>Implementación</w:t>
      </w:r>
      <w:r w:rsidRPr="00BA30D6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Anita Herrera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>Analista Crédito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4C52E3">
        <w:rPr>
          <w:rFonts w:ascii="Arial" w:hAnsi="Arial" w:cs="Arial"/>
          <w:sz w:val="22"/>
        </w:rPr>
        <w:t xml:space="preserve"> </w:t>
      </w:r>
      <w:r w:rsidR="00B17126">
        <w:rPr>
          <w:rFonts w:ascii="Arial" w:hAnsi="Arial" w:cs="Arial"/>
          <w:sz w:val="22"/>
        </w:rPr>
        <w:t>11</w:t>
      </w:r>
      <w:r w:rsidR="00693134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r w:rsidR="004C52E3">
        <w:rPr>
          <w:rFonts w:ascii="Arial" w:hAnsi="Arial" w:cs="Arial"/>
          <w:sz w:val="22"/>
        </w:rPr>
        <w:t>mayo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>pm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00" w:type="dxa"/>
        <w:jc w:val="center"/>
        <w:tblInd w:w="1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9"/>
        <w:gridCol w:w="1277"/>
        <w:gridCol w:w="781"/>
        <w:gridCol w:w="481"/>
        <w:gridCol w:w="692"/>
      </w:tblGrid>
      <w:tr w:rsidR="00AA2E60" w:rsidRPr="007006D8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7006D8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4A" w:rsidRDefault="00127F4A" w:rsidP="00046C31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46C31" w:rsidRPr="00046C31" w:rsidRDefault="00046C31" w:rsidP="00046C31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1.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-</w:t>
            </w:r>
            <w:commentRangeStart w:id="4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Respaldo </w:t>
            </w:r>
            <w:commentRangeEnd w:id="4"/>
            <w:r w:rsidR="00931D0C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4"/>
            </w: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de los siguientes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Jar</w:t>
            </w:r>
            <w:proofErr w:type="spellEnd"/>
            <w:r w:rsidR="00127F4A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de los </w:t>
            </w:r>
            <w:commentRangeStart w:id="5"/>
            <w:r w:rsidR="00127F4A">
              <w:rPr>
                <w:bCs/>
                <w:color w:val="000000"/>
                <w:sz w:val="18"/>
                <w:szCs w:val="18"/>
                <w:lang w:val="es-EC" w:eastAsia="es-EC"/>
              </w:rPr>
              <w:t>diferentes nodos</w:t>
            </w:r>
            <w:commentRangeEnd w:id="5"/>
            <w:r w:rsidR="001E661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5"/>
            </w: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:</w:t>
            </w:r>
          </w:p>
          <w:p w:rsidR="00B57CC7" w:rsidRPr="009C6A35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a</w:t>
            </w:r>
            <w:r w:rsidR="00B57CC7"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.- </w:t>
            </w:r>
            <w:commentRangeStart w:id="6"/>
            <w:r w:rsidR="00B17126"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term</w:t>
            </w:r>
            <w:commentRangeEnd w:id="6"/>
            <w:r w:rsidR="00931D0C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6"/>
            </w:r>
            <w:r w:rsidR="00B17126"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-2.0-SNAPSHOT.jar</w:t>
            </w:r>
          </w:p>
          <w:p w:rsidR="00B17126" w:rsidRPr="009C6A35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b</w:t>
            </w:r>
            <w:r w:rsidR="00B17126"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.-</w:t>
            </w:r>
            <w:r w:rsidR="00B17126" w:rsidRPr="009C6A35">
              <w:rPr>
                <w:lang w:val="en-US"/>
              </w:rPr>
              <w:t xml:space="preserve"> </w:t>
            </w:r>
            <w:r w:rsidR="00B17126" w:rsidRPr="009C6A35">
              <w:rPr>
                <w:bCs/>
                <w:color w:val="000000"/>
                <w:sz w:val="18"/>
                <w:szCs w:val="18"/>
                <w:lang w:val="en-US" w:eastAsia="es-EC"/>
              </w:rPr>
              <w:t>view-2.0-SNAPSHOT.jar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17126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commentRangeStart w:id="7"/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Xavier </w:t>
            </w:r>
            <w:r w:rsidR="001E6612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Albán</w:t>
            </w:r>
            <w:commentRangeEnd w:id="7"/>
            <w:r w:rsidR="001E661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7"/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17126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00:15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46C31" w:rsidRPr="00046C31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4A" w:rsidRDefault="00127F4A" w:rsidP="00B57CC7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46C31" w:rsidRDefault="00046C31" w:rsidP="00B57CC7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2.- Se debe remplazar las clases siguientes en los </w:t>
            </w:r>
            <w:r w:rsidRPr="00046C31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JAR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de producción:</w:t>
            </w:r>
          </w:p>
          <w:p w:rsidR="00046C31" w:rsidRDefault="00046C31" w:rsidP="00B57CC7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46C31" w:rsidRDefault="00046C31" w:rsidP="00046C31">
            <w:pPr>
              <w:ind w:left="708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a.- </w:t>
            </w:r>
            <w:r w:rsidRPr="00046C31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term-2.0-SNAPSHOT.jar:</w:t>
            </w: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      </w:t>
            </w: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El archivo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term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\auxiliar en la ruta:</w:t>
            </w: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\com\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fitbank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\term\batch\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auxiliar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ReleasePawnTerms.class</w:t>
            </w:r>
            <w:proofErr w:type="spellEnd"/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</w:p>
          <w:p w:rsidR="00046C31" w:rsidRPr="00046C31" w:rsidRDefault="00046C31" w:rsidP="00046C31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                </w:t>
            </w: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El archivo 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ReleasePawnTerms.class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en la ruta:</w:t>
            </w: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\com\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fitbank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\term\batch\process\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acco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ReleasePawnTerms.class</w:t>
            </w:r>
            <w:proofErr w:type="spellEnd"/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El archivo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term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>helper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en la ruta:</w:t>
            </w:r>
          </w:p>
          <w:p w:rsid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-\com\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fitbank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\term\batch\helper\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ProcessTypes.class</w:t>
            </w:r>
            <w:proofErr w:type="spellEnd"/>
          </w:p>
          <w:p w:rsidR="00C5787A" w:rsidRDefault="00C5787A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</w:p>
          <w:p w:rsid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>
              <w:rPr>
                <w:bCs/>
                <w:color w:val="000000"/>
                <w:sz w:val="18"/>
                <w:szCs w:val="18"/>
                <w:lang w:val="en-US" w:eastAsia="es-EC"/>
              </w:rPr>
              <w:t>b.-</w:t>
            </w:r>
            <w:r w:rsidRPr="009C6A35">
              <w:rPr>
                <w:lang w:val="en-US"/>
              </w:rPr>
              <w:t xml:space="preserve"> </w:t>
            </w:r>
            <w:r w:rsidRPr="00046C31">
              <w:rPr>
                <w:b/>
                <w:bCs/>
                <w:color w:val="000000"/>
                <w:sz w:val="18"/>
                <w:szCs w:val="18"/>
                <w:lang w:val="en-US" w:eastAsia="es-EC"/>
              </w:rPr>
              <w:t>view-2.0-SNAPSHOT.jar:</w:t>
            </w:r>
          </w:p>
          <w:p w:rsidR="00046C31" w:rsidRP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El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archivo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 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ObtainLiftingMovements.class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en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 xml:space="preserve"> la 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ruta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:</w:t>
            </w:r>
          </w:p>
          <w:p w:rsidR="00046C31" w:rsidRDefault="00046C31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-\com\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fitbank</w:t>
            </w:r>
            <w:proofErr w:type="spellEnd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\view\query\</w:t>
            </w:r>
            <w:proofErr w:type="spellStart"/>
            <w:r w:rsidRPr="00046C31">
              <w:rPr>
                <w:bCs/>
                <w:color w:val="000000"/>
                <w:sz w:val="18"/>
                <w:szCs w:val="18"/>
                <w:lang w:val="en-US" w:eastAsia="es-EC"/>
              </w:rPr>
              <w:t>ObtainLiftingMovements.class</w:t>
            </w:r>
            <w:proofErr w:type="spellEnd"/>
          </w:p>
          <w:p w:rsidR="00127F4A" w:rsidRPr="00046C31" w:rsidRDefault="00127F4A" w:rsidP="00046C31">
            <w:pPr>
              <w:ind w:left="708"/>
              <w:rPr>
                <w:bCs/>
                <w:color w:val="000000"/>
                <w:sz w:val="18"/>
                <w:szCs w:val="18"/>
                <w:lang w:val="en-US" w:eastAsia="es-EC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993F1D" w:rsidRDefault="00046C31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Xavier </w:t>
            </w:r>
            <w:r w:rsidR="001E6612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Albán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46C31" w:rsidRDefault="00046C31" w:rsidP="00C5787A">
            <w:pPr>
              <w:jc w:val="center"/>
              <w:rPr>
                <w:color w:val="000000"/>
                <w:sz w:val="18"/>
                <w:szCs w:val="18"/>
                <w:lang w:val="en-US" w:eastAsia="es-EC"/>
              </w:rPr>
            </w:pPr>
            <w:r>
              <w:rPr>
                <w:color w:val="000000"/>
                <w:sz w:val="18"/>
                <w:szCs w:val="18"/>
                <w:lang w:val="en-US" w:eastAsia="es-EC"/>
              </w:rPr>
              <w:t>00:</w:t>
            </w:r>
            <w:r w:rsidR="00C5787A">
              <w:rPr>
                <w:color w:val="000000"/>
                <w:sz w:val="18"/>
                <w:szCs w:val="18"/>
                <w:lang w:val="en-US" w:eastAsia="es-EC"/>
              </w:rPr>
              <w:t>30</w:t>
            </w:r>
            <w:r w:rsidR="005B008C">
              <w:rPr>
                <w:color w:val="000000"/>
                <w:sz w:val="18"/>
                <w:szCs w:val="18"/>
                <w:lang w:val="en-US" w:eastAsia="es-EC"/>
              </w:rPr>
              <w:t>:00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46C31" w:rsidRDefault="005B008C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es-EC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C31" w:rsidRPr="00046C31" w:rsidRDefault="00046C31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es-EC"/>
              </w:rPr>
            </w:pPr>
          </w:p>
        </w:tc>
      </w:tr>
      <w:tr w:rsidR="00046C31" w:rsidRPr="007006D8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Default="005B008C" w:rsidP="005B3F8E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  <w:r w:rsidR="00046C31">
              <w:rPr>
                <w:rFonts w:ascii="Calibri" w:hAnsi="Calibri"/>
                <w:color w:val="000000"/>
                <w:sz w:val="20"/>
                <w:szCs w:val="20"/>
              </w:rPr>
              <w:t xml:space="preserve">.- </w:t>
            </w:r>
            <w:commentRangeStart w:id="8"/>
            <w:r w:rsidR="00046C31">
              <w:rPr>
                <w:rFonts w:ascii="Calibri" w:hAnsi="Calibri"/>
                <w:color w:val="000000"/>
                <w:sz w:val="20"/>
                <w:szCs w:val="20"/>
              </w:rPr>
              <w:t xml:space="preserve">Generación </w:t>
            </w:r>
            <w:commentRangeEnd w:id="8"/>
            <w:r w:rsidR="00931D0C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8"/>
            </w:r>
            <w:r w:rsidR="00046C31">
              <w:rPr>
                <w:rFonts w:ascii="Calibri" w:hAnsi="Calibri"/>
                <w:color w:val="000000"/>
                <w:sz w:val="20"/>
                <w:szCs w:val="20"/>
              </w:rPr>
              <w:t xml:space="preserve">de los </w:t>
            </w:r>
            <w:commentRangeStart w:id="9"/>
            <w:r w:rsidR="00046C31">
              <w:rPr>
                <w:rFonts w:ascii="Calibri" w:hAnsi="Calibri"/>
                <w:color w:val="000000"/>
                <w:sz w:val="20"/>
                <w:szCs w:val="20"/>
              </w:rPr>
              <w:t xml:space="preserve">script </w:t>
            </w:r>
            <w:commentRangeEnd w:id="9"/>
            <w:r w:rsidR="00C81636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9"/>
            </w:r>
          </w:p>
          <w:p w:rsidR="00046C31" w:rsidRDefault="00046C31" w:rsidP="00046C31">
            <w:pPr>
              <w:spacing w:after="160" w:line="259" w:lineRule="auto"/>
              <w:ind w:left="708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1.- </w:t>
            </w:r>
            <w:commentRangeStart w:id="10"/>
            <w:proofErr w:type="spellStart"/>
            <w:r w:rsidRPr="00046C31">
              <w:rPr>
                <w:rFonts w:ascii="Calibri" w:hAnsi="Calibri"/>
                <w:color w:val="000000"/>
                <w:sz w:val="20"/>
                <w:szCs w:val="20"/>
              </w:rPr>
              <w:t>script</w:t>
            </w:r>
            <w:commentRangeEnd w:id="10"/>
            <w:r w:rsidR="00931D0C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10"/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.sql</w:t>
            </w:r>
            <w:proofErr w:type="spellEnd"/>
          </w:p>
          <w:p w:rsidR="00127F4A" w:rsidRDefault="00046C31" w:rsidP="00127F4A">
            <w:pPr>
              <w:spacing w:after="160" w:line="259" w:lineRule="auto"/>
              <w:ind w:left="708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2.-</w:t>
            </w:r>
            <w:r>
              <w:t xml:space="preserve"> </w:t>
            </w:r>
            <w:r w:rsidRPr="00046C31">
              <w:rPr>
                <w:rFonts w:ascii="Calibri" w:hAnsi="Calibri"/>
                <w:color w:val="000000"/>
                <w:sz w:val="20"/>
                <w:szCs w:val="20"/>
              </w:rPr>
              <w:t>act0026021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.sql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993F1D" w:rsidRDefault="00046C31" w:rsidP="00432C6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993F1D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Patricia Chicaiza 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Default="00046C31" w:rsidP="00B17126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00:15:00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Default="00046C31" w:rsidP="00432C62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C31" w:rsidRPr="007006D8" w:rsidRDefault="00046C31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B57CC7" w:rsidRPr="007006D8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5B008C" w:rsidP="005B008C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  <w:r w:rsidR="00B57CC7">
              <w:rPr>
                <w:rFonts w:ascii="Calibri" w:hAnsi="Calibri"/>
                <w:color w:val="000000"/>
                <w:sz w:val="20"/>
                <w:szCs w:val="20"/>
              </w:rPr>
              <w:t xml:space="preserve">.- </w:t>
            </w:r>
            <w:r w:rsidR="00B57CC7" w:rsidRPr="00B57CC7">
              <w:rPr>
                <w:rFonts w:ascii="Calibri" w:hAnsi="Calibri"/>
                <w:color w:val="000000"/>
                <w:sz w:val="20"/>
                <w:szCs w:val="20"/>
              </w:rPr>
              <w:t>Subir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 w:rsidR="00B57CC7" w:rsidRPr="00B57CC7">
              <w:rPr>
                <w:rFonts w:ascii="Calibri" w:hAnsi="Calibri"/>
                <w:color w:val="000000"/>
                <w:sz w:val="20"/>
                <w:szCs w:val="20"/>
              </w:rPr>
              <w:t>en</w:t>
            </w:r>
            <w:proofErr w:type="spellEnd"/>
            <w:r w:rsidR="00B57CC7" w:rsidRPr="00B57CC7">
              <w:rPr>
                <w:rFonts w:ascii="Calibri" w:hAnsi="Calibri"/>
                <w:color w:val="000000"/>
                <w:sz w:val="20"/>
                <w:szCs w:val="20"/>
              </w:rPr>
              <w:t xml:space="preserve"> la transacción </w:t>
            </w:r>
            <w:commentRangeStart w:id="11"/>
            <w:r w:rsidR="00B57CC7" w:rsidRPr="00B57CC7">
              <w:rPr>
                <w:rFonts w:ascii="Calibri" w:hAnsi="Calibri"/>
                <w:color w:val="000000"/>
                <w:sz w:val="20"/>
                <w:szCs w:val="20"/>
              </w:rPr>
              <w:t>010002</w:t>
            </w:r>
            <w:r w:rsidR="00B57CC7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commentRangeEnd w:id="11"/>
            <w:r w:rsidR="00931D0C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11"/>
            </w:r>
            <w:r w:rsidR="00B57CC7">
              <w:rPr>
                <w:rFonts w:ascii="Calibri" w:hAnsi="Calibri"/>
                <w:color w:val="000000"/>
                <w:sz w:val="20"/>
                <w:szCs w:val="20"/>
              </w:rPr>
              <w:t xml:space="preserve">de cualquier nodo de </w:t>
            </w:r>
            <w:proofErr w:type="spellStart"/>
            <w:r w:rsidR="00B57CC7">
              <w:rPr>
                <w:rFonts w:ascii="Calibri" w:hAnsi="Calibri"/>
                <w:color w:val="000000"/>
                <w:sz w:val="20"/>
                <w:szCs w:val="20"/>
              </w:rPr>
              <w:t>fitbank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:</w:t>
            </w:r>
          </w:p>
          <w:p w:rsidR="005B008C" w:rsidRDefault="005B008C" w:rsidP="005B008C">
            <w:pPr>
              <w:spacing w:after="160" w:line="259" w:lineRule="auto"/>
              <w:ind w:left="708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a.-</w:t>
            </w:r>
            <w:r>
              <w:t xml:space="preserve"> </w:t>
            </w:r>
            <w:r w:rsidRPr="005B008C">
              <w:rPr>
                <w:rFonts w:ascii="Calibri" w:hAnsi="Calibri"/>
                <w:color w:val="000000"/>
                <w:sz w:val="20"/>
                <w:szCs w:val="20"/>
              </w:rPr>
              <w:t>06_GARANTIAAUTOLIQ</w:t>
            </w:r>
          </w:p>
          <w:p w:rsidR="005B008C" w:rsidRPr="00B57CC7" w:rsidRDefault="005B008C" w:rsidP="005B008C">
            <w:pPr>
              <w:spacing w:after="160" w:line="259" w:lineRule="auto"/>
              <w:ind w:left="708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b.-</w:t>
            </w:r>
            <w:r>
              <w:t xml:space="preserve"> </w:t>
            </w:r>
            <w:r w:rsidRPr="005B008C">
              <w:rPr>
                <w:rFonts w:ascii="Calibri" w:hAnsi="Calibri"/>
                <w:color w:val="000000"/>
                <w:sz w:val="20"/>
                <w:szCs w:val="20"/>
              </w:rPr>
              <w:t>065127.wpx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993F1D" w:rsidRDefault="00B57CC7" w:rsidP="00432C6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993F1D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Angélica Paillacho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17126" w:rsidP="00B17126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432C62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B57CC7" w:rsidRPr="007006D8" w:rsidTr="001E6612">
        <w:trPr>
          <w:trHeight w:val="339"/>
          <w:jc w:val="center"/>
        </w:trPr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B57CC7" w:rsidRDefault="005B008C" w:rsidP="00046C31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5</w:t>
            </w:r>
            <w:r w:rsidR="00B57CC7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.- </w:t>
            </w:r>
            <w:commentRangeStart w:id="12"/>
            <w:r w:rsidR="00B57CC7" w:rsidRPr="00993F1D">
              <w:rPr>
                <w:rFonts w:ascii="Calibri" w:hAnsi="Calibri"/>
                <w:color w:val="000000"/>
                <w:sz w:val="20"/>
                <w:szCs w:val="20"/>
              </w:rPr>
              <w:t xml:space="preserve">Validar </w:t>
            </w:r>
            <w:commentRangeEnd w:id="12"/>
            <w:r w:rsidR="00C62870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12"/>
            </w:r>
            <w:r w:rsidR="00046C31" w:rsidRPr="00993F1D">
              <w:rPr>
                <w:rFonts w:ascii="Calibri" w:hAnsi="Calibri"/>
                <w:color w:val="000000"/>
                <w:sz w:val="20"/>
                <w:szCs w:val="20"/>
              </w:rPr>
              <w:t>el levantamiento automático de las pignoraciones</w:t>
            </w:r>
            <w:r w:rsidR="00046C31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Mesa TI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A30D6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00:3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0:00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:rsidR="00993F1D" w:rsidRDefault="00993F1D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E6612" w:rsidRDefault="001E6612" w:rsidP="001E6612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p w:rsidR="007006D8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lastRenderedPageBreak/>
        <w:t>Plan de implementación</w:t>
      </w:r>
    </w:p>
    <w:p w:rsidR="00BA30D6" w:rsidRDefault="00BA30D6" w:rsidP="00BA30D6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p w:rsidR="00BA30D6" w:rsidRPr="00BA30D6" w:rsidRDefault="00BA30D6" w:rsidP="00BA30D6">
      <w:pPr>
        <w:tabs>
          <w:tab w:val="left" w:pos="2552"/>
        </w:tabs>
        <w:ind w:left="708"/>
        <w:jc w:val="both"/>
        <w:rPr>
          <w:rFonts w:ascii="Arial" w:hAnsi="Arial" w:cs="Arial"/>
          <w:sz w:val="22"/>
        </w:rPr>
      </w:pPr>
      <w:r w:rsidRPr="00BA30D6">
        <w:rPr>
          <w:rFonts w:ascii="Arial" w:hAnsi="Arial" w:cs="Arial"/>
          <w:sz w:val="22"/>
        </w:rPr>
        <w:t xml:space="preserve">Se detalla los puntos a continuación en el punto 3 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D2E42" w:rsidRPr="00E63090" w:rsidRDefault="00E63090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Realizar los respaldos</w:t>
      </w:r>
    </w:p>
    <w:p w:rsidR="00E63090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Reemplazar</w:t>
      </w:r>
      <w:r w:rsidR="00E63090">
        <w:rPr>
          <w:rFonts w:ascii="Arial" w:eastAsia="Times New Roman" w:hAnsi="Arial" w:cs="Arial"/>
          <w:sz w:val="22"/>
          <w:lang w:val="es-ES" w:eastAsia="es-ES"/>
        </w:rPr>
        <w:t xml:space="preserve"> las clases y añadir las nuevas </w:t>
      </w:r>
      <w:r w:rsidR="009C6A35">
        <w:rPr>
          <w:rFonts w:ascii="Arial" w:eastAsia="Times New Roman" w:hAnsi="Arial" w:cs="Arial"/>
          <w:sz w:val="22"/>
          <w:lang w:val="es-ES" w:eastAsia="es-ES"/>
        </w:rPr>
        <w:t>en todos los nodos.</w:t>
      </w:r>
    </w:p>
    <w:p w:rsidR="00BA30D6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Correr los Script </w:t>
      </w:r>
    </w:p>
    <w:p w:rsidR="00BA30D6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Subir los formulario </w:t>
      </w:r>
    </w:p>
    <w:p w:rsidR="00BA30D6" w:rsidRPr="009C6A35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Validar mesa el levantamiento de pignoración y generación de reporte</w:t>
      </w:r>
    </w:p>
    <w:p w:rsidR="009C6A35" w:rsidRPr="00BA30D6" w:rsidRDefault="009C6A35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commentRangeStart w:id="13"/>
      <w:commentRangeStart w:id="14"/>
      <w:r>
        <w:rPr>
          <w:rFonts w:ascii="Arial" w:eastAsia="Times New Roman" w:hAnsi="Arial" w:cs="Arial"/>
          <w:sz w:val="22"/>
          <w:lang w:eastAsia="es-ES"/>
        </w:rPr>
        <w:t>Reiniciar los nodos.</w:t>
      </w:r>
      <w:commentRangeEnd w:id="13"/>
      <w:r w:rsidR="00C62870">
        <w:rPr>
          <w:rStyle w:val="Refdecomentario"/>
          <w:rFonts w:eastAsia="WenQuanYi Micro Hei"/>
          <w:kern w:val="1"/>
          <w:lang w:val="es-ES_tradnl" w:eastAsia="en-US"/>
        </w:rPr>
        <w:commentReference w:id="13"/>
      </w:r>
      <w:commentRangeEnd w:id="14"/>
      <w:r w:rsidR="00C62870">
        <w:rPr>
          <w:rStyle w:val="Refdecomentario"/>
          <w:rFonts w:eastAsia="WenQuanYi Micro Hei"/>
          <w:kern w:val="1"/>
          <w:lang w:val="es-ES_tradnl" w:eastAsia="en-US"/>
        </w:rPr>
        <w:commentReference w:id="14"/>
      </w:r>
    </w:p>
    <w:p w:rsidR="00BA30D6" w:rsidRPr="003D2E42" w:rsidRDefault="00BA30D6" w:rsidP="00BA30D6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A30D6">
        <w:rPr>
          <w:rFonts w:ascii="Arial" w:hAnsi="Arial" w:cs="Arial"/>
          <w:sz w:val="22"/>
        </w:rPr>
        <w:t>iempo total de implementación: 1:00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B7DBD" w:rsidRDefault="007B7DBD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BA30D6" w:rsidRDefault="00005F82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Plan de </w:t>
      </w:r>
      <w:proofErr w:type="spellStart"/>
      <w:r w:rsidRPr="00BA30D6">
        <w:rPr>
          <w:rFonts w:ascii="Arial" w:hAnsi="Arial" w:cs="Arial"/>
          <w:b/>
          <w:sz w:val="22"/>
        </w:rPr>
        <w:t>Rollback</w:t>
      </w:r>
      <w:proofErr w:type="spellEnd"/>
    </w:p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Pr="003D2E42" w:rsidRDefault="00BA30D6" w:rsidP="00B57CC7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Remplazar los JAR </w:t>
      </w:r>
      <w:commentRangeStart w:id="15"/>
      <w:r>
        <w:rPr>
          <w:rFonts w:ascii="Arial" w:eastAsia="Times New Roman" w:hAnsi="Arial" w:cs="Arial"/>
          <w:sz w:val="22"/>
          <w:lang w:val="es-ES" w:eastAsia="es-ES"/>
        </w:rPr>
        <w:t>cambiados por los Respaldados</w:t>
      </w:r>
      <w:commentRangeEnd w:id="15"/>
      <w:r w:rsidR="007E5BA5">
        <w:rPr>
          <w:rStyle w:val="Refdecomentario"/>
          <w:rFonts w:eastAsia="WenQuanYi Micro Hei"/>
          <w:kern w:val="1"/>
          <w:lang w:val="es-ES_tradnl" w:eastAsia="en-US"/>
        </w:rPr>
        <w:commentReference w:id="15"/>
      </w:r>
    </w:p>
    <w:p w:rsidR="00B57CC7" w:rsidRPr="00BA30D6" w:rsidRDefault="00BA30D6" w:rsidP="00730286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Desactivar comandos </w:t>
      </w:r>
      <w:commentRangeStart w:id="16"/>
      <w:r>
        <w:rPr>
          <w:rFonts w:ascii="Arial" w:eastAsia="Times New Roman" w:hAnsi="Arial" w:cs="Arial"/>
          <w:sz w:val="22"/>
          <w:lang w:val="es-ES" w:eastAsia="es-ES"/>
        </w:rPr>
        <w:t xml:space="preserve">desde la base </w:t>
      </w:r>
      <w:commentRangeEnd w:id="16"/>
      <w:r w:rsidR="007E5BA5">
        <w:rPr>
          <w:rStyle w:val="Refdecomentario"/>
          <w:rFonts w:eastAsia="WenQuanYi Micro Hei"/>
          <w:kern w:val="1"/>
          <w:lang w:val="es-ES_tradnl" w:eastAsia="en-US"/>
        </w:rPr>
        <w:commentReference w:id="16"/>
      </w:r>
    </w:p>
    <w:p w:rsidR="00BA30D6" w:rsidRPr="00BA30D6" w:rsidRDefault="00BA30D6" w:rsidP="00BA30D6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A30D6" w:rsidRDefault="00BA30D6" w:rsidP="007B7DBD">
      <w:pPr>
        <w:autoSpaceDE w:val="0"/>
        <w:autoSpaceDN w:val="0"/>
        <w:adjustRightInd w:val="0"/>
        <w:ind w:left="708"/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</w:pPr>
      <w:proofErr w:type="spellStart"/>
      <w:proofErr w:type="gramStart"/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update</w:t>
      </w:r>
      <w:proofErr w:type="spellEnd"/>
      <w:proofErr w:type="gram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>fitbank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.</w:t>
      </w:r>
      <w:r w:rsidRPr="00BA30D6"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eastAsia="en-US"/>
        </w:rPr>
        <w:t>TSUBSISTEMAPROCESOS</w:t>
      </w:r>
      <w:proofErr w:type="spell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set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ACTIVO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800000"/>
          <w:sz w:val="20"/>
          <w:szCs w:val="20"/>
          <w:highlight w:val="white"/>
          <w:lang w:eastAsia="en-US"/>
        </w:rPr>
        <w:t>0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CSUBSISTEMA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'05'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CSUBSISTEMA_TRANSACCION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'01'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CTRANSACCION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'2000'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COMANDO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</w:t>
      </w:r>
      <w:proofErr w:type="spellStart"/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com.fitbank.term.batch.auxiliar.ReleasePawnTerms</w:t>
      </w:r>
      <w:proofErr w:type="spellEnd"/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FHASTA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eastAsia="en-US"/>
        </w:rPr>
        <w:t>FNCFHASTA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ACTIVO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'1'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;</w:t>
      </w:r>
    </w:p>
    <w:p w:rsidR="00BA30D6" w:rsidRPr="00BA30D6" w:rsidRDefault="00BA30D6" w:rsidP="007B7DBD">
      <w:pPr>
        <w:autoSpaceDE w:val="0"/>
        <w:autoSpaceDN w:val="0"/>
        <w:adjustRightInd w:val="0"/>
        <w:ind w:left="708"/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</w:pPr>
    </w:p>
    <w:p w:rsidR="00BA30D6" w:rsidRPr="00BA30D6" w:rsidRDefault="00BA30D6" w:rsidP="007B7DBD">
      <w:pPr>
        <w:autoSpaceDE w:val="0"/>
        <w:autoSpaceDN w:val="0"/>
        <w:adjustRightInd w:val="0"/>
        <w:ind w:left="708"/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update</w:t>
      </w:r>
      <w:proofErr w:type="spellEnd"/>
      <w:proofErr w:type="gram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>fitbank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.</w:t>
      </w:r>
      <w:r w:rsidRPr="00BA30D6"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eastAsia="en-US"/>
        </w:rPr>
        <w:t>TSUBSISTEMAPROCESOS</w:t>
      </w:r>
      <w:proofErr w:type="spell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set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ACTIVO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800000"/>
          <w:sz w:val="20"/>
          <w:szCs w:val="20"/>
          <w:highlight w:val="white"/>
          <w:lang w:eastAsia="en-US"/>
        </w:rPr>
        <w:t>0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CSUBSISTEMA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'05'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CSUBSISTEMA_TRANSACCION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'01'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CTRANSACCION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'2000'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 COMANDO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</w:t>
      </w:r>
      <w:proofErr w:type="spellStart"/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com.fitbank.term.batch.process.acco.ReleasePawnTerms</w:t>
      </w:r>
      <w:proofErr w:type="spellEnd"/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FHASTA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eastAsia="en-US"/>
        </w:rPr>
        <w:t>FNCFHASTA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AND</w:t>
      </w:r>
      <w:r w:rsidRPr="00BA30D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eastAsia="en-US"/>
        </w:rPr>
        <w:t xml:space="preserve"> ACTIVO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=</w:t>
      </w:r>
      <w:commentRangeStart w:id="17"/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'1</w:t>
      </w:r>
      <w:commentRangeEnd w:id="17"/>
      <w:r w:rsidR="007E5BA5">
        <w:rPr>
          <w:rStyle w:val="Refdecomentario"/>
          <w:rFonts w:eastAsia="WenQuanYi Micro Hei"/>
          <w:kern w:val="1"/>
          <w:lang w:val="es-ES_tradnl" w:eastAsia="en-US"/>
        </w:rPr>
        <w:commentReference w:id="17"/>
      </w:r>
      <w:r w:rsidRPr="00BA30D6">
        <w:rPr>
          <w:rFonts w:ascii="MS Shell Dlg 2" w:eastAsia="Calibri" w:hAnsi="MS Shell Dlg 2" w:cs="MS Shell Dlg 2"/>
          <w:color w:val="FF0000"/>
          <w:sz w:val="20"/>
          <w:szCs w:val="20"/>
          <w:highlight w:val="white"/>
          <w:lang w:eastAsia="en-US"/>
        </w:rPr>
        <w:t>'</w:t>
      </w:r>
      <w:r w:rsidRPr="00BA30D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eastAsia="en-US"/>
        </w:rPr>
        <w:t>;</w:t>
      </w:r>
    </w:p>
    <w:p w:rsidR="00BA30D6" w:rsidRPr="00BA30D6" w:rsidRDefault="00BA30D6" w:rsidP="00BA30D6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BA30D6">
        <w:rPr>
          <w:rFonts w:ascii="Arial" w:hAnsi="Arial" w:cs="Arial"/>
          <w:sz w:val="22"/>
          <w:lang w:val="es-EC"/>
        </w:rPr>
        <w:t>45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XAVIER SANTIAGO ALBAN NARVAEZ" w:date="2019-06-10T09:00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>Cuál es el resultado esperado?</w:t>
      </w:r>
    </w:p>
  </w:comment>
  <w:comment w:id="4" w:author="XAVIER SANTIAGO ALBAN NARVAEZ" w:date="2019-06-10T08:54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>El Respaldo debe ser de manera local?</w:t>
      </w:r>
    </w:p>
  </w:comment>
  <w:comment w:id="5" w:author="XAVIER SANTIAGO ALBAN NARVAEZ" w:date="2019-06-10T08:49:00Z" w:initials="XSAN">
    <w:p w:rsidR="001E6612" w:rsidRDefault="001E6612">
      <w:pPr>
        <w:pStyle w:val="Textocomentario"/>
      </w:pPr>
      <w:r>
        <w:rPr>
          <w:rStyle w:val="Refdecomentario"/>
        </w:rPr>
        <w:annotationRef/>
      </w:r>
      <w:r>
        <w:t>Se debe colocar la ruta donde se encuentran estos archivos, en cada uno de los NODOS</w:t>
      </w:r>
    </w:p>
  </w:comment>
  <w:comment w:id="6" w:author="XAVIER SANTIAGO ALBAN NARVAEZ" w:date="2019-06-10T08:54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>Los 2 archivos se encuentran en la misma ruta?</w:t>
      </w:r>
    </w:p>
  </w:comment>
  <w:comment w:id="7" w:author="XAVIER SANTIAGO ALBAN NARVAEZ" w:date="2019-06-10T09:23:00Z" w:initials="XSAN">
    <w:p w:rsidR="001E6612" w:rsidRDefault="001E6612">
      <w:pPr>
        <w:pStyle w:val="Textocomentario"/>
      </w:pPr>
      <w:r>
        <w:rPr>
          <w:rStyle w:val="Refdecomentario"/>
        </w:rPr>
        <w:annotationRef/>
      </w:r>
      <w:r w:rsidR="007E5BA5">
        <w:t xml:space="preserve">Colocar, en todos los pasos, </w:t>
      </w:r>
      <w:r>
        <w:t>el nombre del analista de gestión de aplicaciones con el conocimiento</w:t>
      </w:r>
      <w:r w:rsidR="00931D0C">
        <w:t xml:space="preserve"> para el versionamiento</w:t>
      </w:r>
      <w:r>
        <w:t>, ya que el riesgo de que el gestor de cambios no ejecute correctamente el plan es todavía alto</w:t>
      </w:r>
    </w:p>
  </w:comment>
  <w:comment w:id="8" w:author="XAVIER SANTIAGO ALBAN NARVAEZ" w:date="2019-06-10T08:55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 xml:space="preserve">El DBA debe generar estos </w:t>
      </w:r>
      <w:proofErr w:type="spellStart"/>
      <w:r>
        <w:t>sripts</w:t>
      </w:r>
      <w:proofErr w:type="spellEnd"/>
      <w:r>
        <w:t>?</w:t>
      </w:r>
    </w:p>
  </w:comment>
  <w:comment w:id="9" w:author="XAVIER SANTIAGO ALBAN NARVAEZ" w:date="2019-06-10T09:02:00Z" w:initials="XSAN">
    <w:p w:rsidR="00C81636" w:rsidRDefault="00C81636">
      <w:pPr>
        <w:pStyle w:val="Textocomentario"/>
      </w:pPr>
      <w:r>
        <w:rPr>
          <w:rStyle w:val="Refdecomentario"/>
        </w:rPr>
        <w:annotationRef/>
      </w:r>
      <w:r>
        <w:t>Favor detallar los objetos que se van a modificar, tablas, objetos, etc.</w:t>
      </w:r>
    </w:p>
  </w:comment>
  <w:comment w:id="10" w:author="XAVIER SANTIAGO ALBAN NARVAEZ" w:date="2019-06-10T08:57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 xml:space="preserve">Favor colocar la base y el esquema donde se deben ejecutar estos </w:t>
      </w:r>
      <w:proofErr w:type="spellStart"/>
      <w:r>
        <w:t>scritps</w:t>
      </w:r>
      <w:proofErr w:type="spellEnd"/>
      <w:r>
        <w:t>.</w:t>
      </w:r>
    </w:p>
  </w:comment>
  <w:comment w:id="11" w:author="XAVIER SANTIAGO ALBAN NARVAEZ" w:date="2019-06-10T08:57:00Z" w:initials="XSAN">
    <w:p w:rsidR="00931D0C" w:rsidRDefault="00931D0C">
      <w:pPr>
        <w:pStyle w:val="Textocomentario"/>
      </w:pPr>
      <w:r>
        <w:rPr>
          <w:rStyle w:val="Refdecomentario"/>
        </w:rPr>
        <w:annotationRef/>
      </w:r>
      <w:r>
        <w:t>Con que perfil se va a ejecutar esta transacción?</w:t>
      </w:r>
    </w:p>
  </w:comment>
  <w:comment w:id="12" w:author="XAVIER SANTIAGO ALBAN NARVAEZ" w:date="2019-06-10T09:18:00Z" w:initials="XSAN">
    <w:p w:rsidR="00C62870" w:rsidRDefault="00C62870">
      <w:pPr>
        <w:pStyle w:val="Textocomentario"/>
      </w:pPr>
      <w:r>
        <w:rPr>
          <w:rStyle w:val="Refdecomentario"/>
        </w:rPr>
        <w:annotationRef/>
      </w:r>
      <w:r>
        <w:t>Como se realizará esta validación?</w:t>
      </w:r>
    </w:p>
  </w:comment>
  <w:comment w:id="13" w:author="XAVIER SANTIAGO ALBAN NARVAEZ" w:date="2019-06-10T09:19:00Z" w:initials="XSAN">
    <w:p w:rsidR="00C62870" w:rsidRDefault="00C62870">
      <w:pPr>
        <w:pStyle w:val="Textocomentario"/>
      </w:pPr>
      <w:r>
        <w:rPr>
          <w:rStyle w:val="Refdecomentario"/>
        </w:rPr>
        <w:annotationRef/>
      </w:r>
      <w:r>
        <w:t>Este punto debe ser incluido en el cuadro anterior, como parte del despliegue</w:t>
      </w:r>
    </w:p>
  </w:comment>
  <w:comment w:id="14" w:author="XAVIER SANTIAGO ALBAN NARVAEZ" w:date="2019-06-10T09:20:00Z" w:initials="XSAN">
    <w:p w:rsidR="00C62870" w:rsidRDefault="00C62870">
      <w:pPr>
        <w:pStyle w:val="Textocomentario"/>
      </w:pPr>
      <w:r>
        <w:rPr>
          <w:rStyle w:val="Refdecomentario"/>
        </w:rPr>
        <w:annotationRef/>
      </w:r>
      <w:r>
        <w:t>Se debe especificar cada nodo y que capa se debe reiniciar.</w:t>
      </w:r>
    </w:p>
  </w:comment>
  <w:comment w:id="15" w:author="XAVIER SANTIAGO ALBAN NARVAEZ" w:date="2019-06-10T09:21:00Z" w:initials="XSAN">
    <w:p w:rsidR="007E5BA5" w:rsidRDefault="007E5BA5">
      <w:pPr>
        <w:pStyle w:val="Textocomentario"/>
      </w:pPr>
      <w:r>
        <w:rPr>
          <w:rStyle w:val="Refdecomentario"/>
        </w:rPr>
        <w:annotationRef/>
      </w:r>
      <w:r>
        <w:t>Se sugiere colocar la ruta de cada uno de los archivos</w:t>
      </w:r>
    </w:p>
  </w:comment>
  <w:comment w:id="16" w:author="XAVIER SANTIAGO ALBAN NARVAEZ" w:date="2019-06-10T09:24:00Z" w:initials="XSAN">
    <w:p w:rsidR="007E5BA5" w:rsidRDefault="007E5BA5">
      <w:pPr>
        <w:pStyle w:val="Textocomentario"/>
      </w:pPr>
      <w:r>
        <w:rPr>
          <w:rStyle w:val="Refdecomentario"/>
        </w:rPr>
        <w:annotationRef/>
      </w:r>
      <w:r>
        <w:t xml:space="preserve">Al igual que el plan de implementación, se debe colocar cada uno de los responsables, quienes deben ejecutar cada paso del </w:t>
      </w:r>
      <w:proofErr w:type="spellStart"/>
      <w:r>
        <w:t>rollback</w:t>
      </w:r>
      <w:proofErr w:type="spellEnd"/>
    </w:p>
  </w:comment>
  <w:comment w:id="17" w:author="XAVIER SANTIAGO ALBAN NARVAEZ" w:date="2019-06-10T09:22:00Z" w:initials="XSAN">
    <w:p w:rsidR="007E5BA5" w:rsidRDefault="007E5BA5">
      <w:pPr>
        <w:pStyle w:val="Textocomentario"/>
      </w:pPr>
      <w:r>
        <w:rPr>
          <w:rStyle w:val="Refdecomentario"/>
        </w:rPr>
        <w:annotationRef/>
      </w:r>
      <w:r>
        <w:t xml:space="preserve">Se debe colocar un proceso de validación para asegurar que el sistema haya quedado funcionando en caso de ejecutar el </w:t>
      </w:r>
      <w:proofErr w:type="spellStart"/>
      <w:r>
        <w:t>rollback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A8" w:rsidRDefault="00681FA8" w:rsidP="00857319">
      <w:r>
        <w:separator/>
      </w:r>
    </w:p>
  </w:endnote>
  <w:endnote w:type="continuationSeparator" w:id="0">
    <w:p w:rsidR="00681FA8" w:rsidRDefault="00681FA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7E5BA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7E5BA5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A8" w:rsidRDefault="00681FA8" w:rsidP="00857319">
      <w:bookmarkStart w:id="0" w:name="_Hlk510602747"/>
      <w:bookmarkEnd w:id="0"/>
      <w:r>
        <w:separator/>
      </w:r>
    </w:p>
  </w:footnote>
  <w:footnote w:type="continuationSeparator" w:id="0">
    <w:p w:rsidR="00681FA8" w:rsidRDefault="00681FA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5F95EA05" wp14:editId="153FB369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5161C"/>
    <w:multiLevelType w:val="hybridMultilevel"/>
    <w:tmpl w:val="C0864A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C31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27F4A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7731C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E6612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008C"/>
    <w:rsid w:val="005B29A7"/>
    <w:rsid w:val="005B3D9B"/>
    <w:rsid w:val="005B3F8E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1FA8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B7DBD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5BA5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1D0C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3F1D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C6A35"/>
    <w:rsid w:val="009D0B08"/>
    <w:rsid w:val="009D0EAF"/>
    <w:rsid w:val="009D10C4"/>
    <w:rsid w:val="009D2021"/>
    <w:rsid w:val="009D4BEF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9740C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7126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0D6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5787A"/>
    <w:rsid w:val="00C62870"/>
    <w:rsid w:val="00C70F86"/>
    <w:rsid w:val="00C7441A"/>
    <w:rsid w:val="00C7458B"/>
    <w:rsid w:val="00C755DC"/>
    <w:rsid w:val="00C75912"/>
    <w:rsid w:val="00C76D5B"/>
    <w:rsid w:val="00C80BD9"/>
    <w:rsid w:val="00C81636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3090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E661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612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612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E661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612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612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AD02F-1AE3-4DBC-ADA0-BBC88B9D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11</cp:revision>
  <cp:lastPrinted>2019-05-23T14:35:00Z</cp:lastPrinted>
  <dcterms:created xsi:type="dcterms:W3CDTF">2019-06-07T16:25:00Z</dcterms:created>
  <dcterms:modified xsi:type="dcterms:W3CDTF">2019-06-10T14:24:00Z</dcterms:modified>
</cp:coreProperties>
</file>