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1"/>
        <w:gridCol w:w="14"/>
        <w:gridCol w:w="2610"/>
        <w:gridCol w:w="183"/>
        <w:gridCol w:w="251"/>
        <w:gridCol w:w="428"/>
        <w:gridCol w:w="1701"/>
        <w:gridCol w:w="850"/>
        <w:gridCol w:w="960"/>
        <w:gridCol w:w="458"/>
        <w:gridCol w:w="567"/>
        <w:gridCol w:w="332"/>
        <w:gridCol w:w="1299"/>
      </w:tblGrid>
      <w:tr w:rsidR="009948BE" w:rsidRPr="00BF7288" w:rsidTr="00D91747">
        <w:trPr>
          <w:trHeight w:val="422"/>
        </w:trPr>
        <w:tc>
          <w:tcPr>
            <w:tcW w:w="975" w:type="dxa"/>
            <w:gridSpan w:val="2"/>
            <w:vAlign w:val="center"/>
          </w:tcPr>
          <w:p w:rsidR="009948BE" w:rsidRPr="00E33C55" w:rsidRDefault="009948BE" w:rsidP="003C6B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 xml:space="preserve">Asunto: </w:t>
            </w:r>
          </w:p>
        </w:tc>
        <w:tc>
          <w:tcPr>
            <w:tcW w:w="9639" w:type="dxa"/>
            <w:gridSpan w:val="11"/>
            <w:vAlign w:val="center"/>
          </w:tcPr>
          <w:p w:rsidR="009948BE" w:rsidRPr="00BF7288" w:rsidRDefault="00B925E8" w:rsidP="008321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Comité De Cambios </w:t>
            </w:r>
            <w:r w:rsidR="008321B5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321B5">
              <w:rPr>
                <w:rFonts w:ascii="Arial" w:hAnsi="Arial" w:cs="Arial"/>
              </w:rPr>
              <w:t xml:space="preserve">Instalación de Firewall de Borde </w:t>
            </w:r>
          </w:p>
        </w:tc>
      </w:tr>
      <w:tr w:rsidR="007D3011" w:rsidRPr="00BF7288" w:rsidTr="00D91747">
        <w:trPr>
          <w:trHeight w:val="255"/>
        </w:trPr>
        <w:tc>
          <w:tcPr>
            <w:tcW w:w="961" w:type="dxa"/>
            <w:vAlign w:val="center"/>
          </w:tcPr>
          <w:p w:rsidR="00112822" w:rsidRPr="00E33C55" w:rsidRDefault="00112822" w:rsidP="005206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Lugar:</w:t>
            </w:r>
          </w:p>
        </w:tc>
        <w:tc>
          <w:tcPr>
            <w:tcW w:w="2624" w:type="dxa"/>
            <w:gridSpan w:val="2"/>
            <w:vAlign w:val="center"/>
          </w:tcPr>
          <w:p w:rsidR="00112822" w:rsidRPr="00BF7288" w:rsidRDefault="00B925E8" w:rsidP="00B925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 de reuniones Riesgos</w:t>
            </w:r>
          </w:p>
        </w:tc>
        <w:tc>
          <w:tcPr>
            <w:tcW w:w="862" w:type="dxa"/>
            <w:gridSpan w:val="3"/>
            <w:vAlign w:val="center"/>
          </w:tcPr>
          <w:p w:rsidR="00112822" w:rsidRPr="00E33C55" w:rsidRDefault="00112822" w:rsidP="005206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:rsidR="00112822" w:rsidRPr="00BF7288" w:rsidRDefault="008321B5" w:rsidP="005206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16/07</w:t>
            </w:r>
            <w:r w:rsidR="00B925E8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  <w:tc>
          <w:tcPr>
            <w:tcW w:w="850" w:type="dxa"/>
            <w:vAlign w:val="center"/>
          </w:tcPr>
          <w:p w:rsidR="00112822" w:rsidRPr="00BF7288" w:rsidRDefault="00112822" w:rsidP="0052066F">
            <w:pPr>
              <w:rPr>
                <w:rFonts w:ascii="Arial" w:hAnsi="Arial" w:cs="Arial"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  <w:r w:rsidRPr="00BF728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gridSpan w:val="2"/>
            <w:vAlign w:val="center"/>
          </w:tcPr>
          <w:p w:rsidR="00112822" w:rsidRPr="00BF7288" w:rsidRDefault="008321B5" w:rsidP="00B92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</w:t>
            </w:r>
          </w:p>
        </w:tc>
        <w:tc>
          <w:tcPr>
            <w:tcW w:w="899" w:type="dxa"/>
            <w:gridSpan w:val="2"/>
            <w:vAlign w:val="center"/>
          </w:tcPr>
          <w:p w:rsidR="00112822" w:rsidRPr="00E33C55" w:rsidRDefault="00112822" w:rsidP="005206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Hora Fin:</w:t>
            </w:r>
          </w:p>
        </w:tc>
        <w:tc>
          <w:tcPr>
            <w:tcW w:w="1299" w:type="dxa"/>
            <w:vAlign w:val="center"/>
          </w:tcPr>
          <w:p w:rsidR="00112822" w:rsidRPr="00BF7288" w:rsidRDefault="008321B5" w:rsidP="00B92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12h4</w:t>
            </w:r>
            <w:r w:rsidR="00B925E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942D5" w:rsidRPr="00BF7288" w:rsidTr="00D91747">
        <w:trPr>
          <w:trHeight w:val="255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F942D5" w:rsidRPr="00E33C55" w:rsidRDefault="00F942D5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Objetivo(s):</w:t>
            </w:r>
          </w:p>
        </w:tc>
      </w:tr>
      <w:tr w:rsidR="00F942D5" w:rsidRPr="00BF7288" w:rsidTr="002768F4">
        <w:trPr>
          <w:trHeight w:val="548"/>
        </w:trPr>
        <w:tc>
          <w:tcPr>
            <w:tcW w:w="10614" w:type="dxa"/>
            <w:gridSpan w:val="13"/>
          </w:tcPr>
          <w:p w:rsidR="00E40519" w:rsidRPr="00D9118E" w:rsidRDefault="00B925E8" w:rsidP="008321B5">
            <w:pPr>
              <w:pStyle w:val="Prrafodelista"/>
              <w:numPr>
                <w:ilvl w:val="0"/>
                <w:numId w:val="11"/>
              </w:numPr>
              <w:ind w:left="284" w:hanging="142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Analizar y aprobar el control de cambios levantado por el área de Gestión Técnica, para ejecutar la implementación en la </w:t>
            </w:r>
            <w:r w:rsidR="008321B5">
              <w:rPr>
                <w:rFonts w:ascii="Arial" w:hAnsi="Arial" w:cs="Arial"/>
                <w:sz w:val="20"/>
                <w:szCs w:val="20"/>
              </w:rPr>
              <w:t>activación del Firewall de Borde por parte del proveedor</w:t>
            </w:r>
            <w:r w:rsidR="00505084">
              <w:t>.</w:t>
            </w:r>
          </w:p>
        </w:tc>
      </w:tr>
      <w:tr w:rsidR="00F942D5" w:rsidRPr="00BF7288" w:rsidTr="00D91747">
        <w:trPr>
          <w:trHeight w:val="217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F942D5" w:rsidRPr="00E33C55" w:rsidRDefault="00F942D5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Desarrollo:</w:t>
            </w:r>
          </w:p>
        </w:tc>
      </w:tr>
      <w:tr w:rsidR="00F942D5" w:rsidRPr="00BF7288" w:rsidTr="00D82D3B">
        <w:trPr>
          <w:trHeight w:val="3282"/>
        </w:trPr>
        <w:tc>
          <w:tcPr>
            <w:tcW w:w="10614" w:type="dxa"/>
            <w:gridSpan w:val="13"/>
          </w:tcPr>
          <w:p w:rsidR="00553626" w:rsidRDefault="00983AC5" w:rsidP="00D82D3B">
            <w:pPr>
              <w:pStyle w:val="Prrafodelista"/>
              <w:numPr>
                <w:ilvl w:val="1"/>
                <w:numId w:val="11"/>
              </w:numPr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Xavier Albán da comienzo al comité de cambios, indicando que este es un control que fue levantado por el área de Gestión Técnica, para la </w:t>
            </w:r>
            <w:r w:rsidR="008321B5">
              <w:rPr>
                <w:rFonts w:ascii="Arial" w:hAnsi="Arial" w:cs="Arial"/>
                <w:sz w:val="20"/>
                <w:szCs w:val="20"/>
              </w:rPr>
              <w:t>activación del firewall de borde, esto con el fin de tener la administración de las reglas de navegabilidad de internet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AC5" w:rsidRDefault="00983AC5" w:rsidP="00553626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Redroban indica que en efecto, </w:t>
            </w:r>
            <w:r w:rsidR="008321B5">
              <w:rPr>
                <w:rFonts w:ascii="Arial" w:hAnsi="Arial" w:cs="Arial"/>
                <w:sz w:val="20"/>
                <w:szCs w:val="20"/>
              </w:rPr>
              <w:t>se trata de una activación de un componente que ya se encuentra instalad</w:t>
            </w:r>
            <w:r w:rsidR="00E234DD">
              <w:rPr>
                <w:rFonts w:ascii="Arial" w:hAnsi="Arial" w:cs="Arial"/>
                <w:sz w:val="20"/>
                <w:szCs w:val="20"/>
              </w:rPr>
              <w:t>o en el Data Center, pero que al momento no se encuentra activa, la misma permite tener la administración de la navegación de internet de cada uno de los roles, y se expone que se tiene 2 propuestas, mismas que tienen el mismo propósito, pero que utilizan diferentes modos de instalación, por lo que se procede a explicar ambas</w:t>
            </w:r>
            <w:r w:rsidR="00BE1114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E234DD" w:rsidRDefault="00E234DD" w:rsidP="00E234DD">
            <w:pPr>
              <w:pStyle w:val="Prrafodelista"/>
              <w:numPr>
                <w:ilvl w:val="2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la primera, se explica que se conectará el componente al Switch 29, para tener acceso </w:t>
            </w:r>
            <w:r w:rsidRPr="00E234DD">
              <w:rPr>
                <w:rFonts w:ascii="Arial" w:hAnsi="Arial" w:cs="Arial"/>
                <w:sz w:val="20"/>
                <w:szCs w:val="20"/>
              </w:rPr>
              <w:t>de tal manera que se pueda alcanzar por el vdom transparente los 3 ADs que tiene en la cooperativa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234DD" w:rsidRDefault="00E234DD" w:rsidP="00E234DD">
            <w:pPr>
              <w:pStyle w:val="Prrafodelista"/>
              <w:numPr>
                <w:ilvl w:val="2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la segunda se tiene la diferencia que se debe conectar </w:t>
            </w:r>
            <w:r w:rsidR="00BA6E15">
              <w:rPr>
                <w:rFonts w:ascii="Arial" w:hAnsi="Arial" w:cs="Arial"/>
                <w:sz w:val="20"/>
                <w:szCs w:val="20"/>
              </w:rPr>
              <w:t>al Firewall de Checkpoint, pero que en este se tendrá más tiempo de indisponibilidad.</w:t>
            </w:r>
          </w:p>
          <w:p w:rsidR="00BE1114" w:rsidRDefault="00BA6E15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Andrea Zambrano solicita se aclare la diferencia entre una propuesta y otra, para saber </w:t>
            </w:r>
            <w:r w:rsidR="000C05E8">
              <w:rPr>
                <w:rFonts w:ascii="Arial" w:hAnsi="Arial" w:cs="Arial"/>
                <w:sz w:val="20"/>
                <w:szCs w:val="20"/>
              </w:rPr>
              <w:t>cuál</w:t>
            </w:r>
            <w:r>
              <w:rPr>
                <w:rFonts w:ascii="Arial" w:hAnsi="Arial" w:cs="Arial"/>
                <w:sz w:val="20"/>
                <w:szCs w:val="20"/>
              </w:rPr>
              <w:t xml:space="preserve"> es la diferencia en funcionalidad.</w:t>
            </w:r>
          </w:p>
          <w:p w:rsidR="00BE1114" w:rsidRDefault="00BA6E15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Redroban explica que no existe diferencia en la funcionalidad, que las 2 propuestas son para definir el esquema </w:t>
            </w:r>
            <w:r w:rsidR="000C05E8">
              <w:rPr>
                <w:rFonts w:ascii="Arial" w:hAnsi="Arial" w:cs="Arial"/>
                <w:sz w:val="20"/>
                <w:szCs w:val="20"/>
              </w:rPr>
              <w:t xml:space="preserve">de activación del Firewall, pero que en la segunda propuesta se tiene </w:t>
            </w:r>
            <w:r w:rsidR="00DA74ED">
              <w:rPr>
                <w:rFonts w:ascii="Arial" w:hAnsi="Arial" w:cs="Arial"/>
                <w:sz w:val="20"/>
                <w:szCs w:val="20"/>
              </w:rPr>
              <w:t>más</w:t>
            </w:r>
            <w:r w:rsidR="000C05E8">
              <w:rPr>
                <w:rFonts w:ascii="Arial" w:hAnsi="Arial" w:cs="Arial"/>
                <w:sz w:val="20"/>
                <w:szCs w:val="20"/>
              </w:rPr>
              <w:t xml:space="preserve"> tiempo de indisponibilidad, ya que mientras se conecta el componente al Firewall, se tendrá indisponibilidad, y luego se tendrá nuevamente indisponibilidad, a diferencia que con la primera se tendrá un solo tiempo de indisponibilidad.</w:t>
            </w:r>
          </w:p>
          <w:p w:rsidR="00BE1114" w:rsidRDefault="000C05E8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Santiago Hernández solicita se confirme con el proveedor si se copió las reglas de firewall enviadas.</w:t>
            </w:r>
          </w:p>
          <w:p w:rsidR="00BE1114" w:rsidRDefault="000C05E8" w:rsidP="00DA74ED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Redroban recalca que es la primera </w:t>
            </w:r>
            <w:r w:rsidR="008B3897">
              <w:rPr>
                <w:rFonts w:ascii="Arial" w:hAnsi="Arial" w:cs="Arial"/>
                <w:sz w:val="20"/>
                <w:szCs w:val="20"/>
              </w:rPr>
              <w:t>propuesta es la recomendada por el proveedor, ya que por lo explicado anteriormente, no existe desconexión del firewall</w:t>
            </w:r>
            <w:r w:rsidR="00BE111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A74ED" w:rsidRPr="00DA74ED" w:rsidRDefault="00DA74ED" w:rsidP="00DA74ED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Zambrano solicita se explique cuál es el riesgo de que el proveedor trabaje con el componente conectado directamente al Switch Core.</w:t>
            </w:r>
          </w:p>
          <w:p w:rsidR="00DD3592" w:rsidRDefault="00DA74ED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Redroban indica que </w:t>
            </w:r>
            <w:r w:rsidR="00285A63">
              <w:rPr>
                <w:rFonts w:ascii="Arial" w:hAnsi="Arial" w:cs="Arial"/>
                <w:sz w:val="20"/>
                <w:szCs w:val="20"/>
              </w:rPr>
              <w:t>no existe Riesgo, ya que solo se trata de conectar a un puerto del Switch, por lo que no causaría ningún tipo de indisponibilidad.</w:t>
            </w:r>
          </w:p>
          <w:p w:rsidR="00BE1114" w:rsidRDefault="00285A63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indica que luego del versionamiento, se deben realizar validaciones de conexión a internet.</w:t>
            </w:r>
          </w:p>
          <w:p w:rsidR="00DD3592" w:rsidRDefault="00285A63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Omar Redroban indica que se realizará validaciones de conexión a internet, con pruebas de acceso y envío de correos, y navegación de internet.</w:t>
            </w:r>
          </w:p>
          <w:p w:rsidR="00DD3592" w:rsidRDefault="00285A63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Andrea Zambrano indica que se debe mitigar el riesgo de que los diferentes roles y permisos se modifiquen, y se debe comprobar accesos a </w:t>
            </w:r>
            <w:r w:rsidR="00F95412">
              <w:rPr>
                <w:rFonts w:ascii="Arial" w:hAnsi="Arial" w:cs="Arial"/>
                <w:sz w:val="20"/>
                <w:szCs w:val="20"/>
              </w:rPr>
              <w:t>páginas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se usan generalmente por los asesores, y operaciones, como por ejemplo las </w:t>
            </w:r>
            <w:r w:rsidR="00F95412">
              <w:rPr>
                <w:rFonts w:ascii="Arial" w:hAnsi="Arial" w:cs="Arial"/>
                <w:sz w:val="20"/>
                <w:szCs w:val="20"/>
              </w:rPr>
              <w:t>páginas</w:t>
            </w:r>
            <w:r>
              <w:rPr>
                <w:rFonts w:ascii="Arial" w:hAnsi="Arial" w:cs="Arial"/>
                <w:sz w:val="20"/>
                <w:szCs w:val="20"/>
              </w:rPr>
              <w:t xml:space="preserve"> de BCE, Equifax</w:t>
            </w:r>
            <w:r w:rsidR="00F95412">
              <w:rPr>
                <w:rFonts w:ascii="Arial" w:hAnsi="Arial" w:cs="Arial"/>
                <w:sz w:val="20"/>
                <w:szCs w:val="20"/>
              </w:rPr>
              <w:t>, Facilito, Moneygram, Tevcol.</w:t>
            </w:r>
          </w:p>
          <w:p w:rsidR="00DD3592" w:rsidRDefault="00F95412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Santiago </w:t>
            </w:r>
            <w:r w:rsidR="002768F4">
              <w:rPr>
                <w:rFonts w:ascii="Arial" w:hAnsi="Arial" w:cs="Arial"/>
                <w:sz w:val="20"/>
                <w:szCs w:val="20"/>
              </w:rPr>
              <w:t>Hernández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solicita que se incluya al área de Seguridad de la </w:t>
            </w:r>
            <w:r w:rsidR="002768F4">
              <w:rPr>
                <w:rFonts w:ascii="Arial" w:hAnsi="Arial" w:cs="Arial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en las capacitaciones que el proveedor va a impartir para conocer la administración de este Firewall</w:t>
            </w:r>
          </w:p>
          <w:p w:rsidR="00DD3592" w:rsidRDefault="00F95412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Omar Redroban también indica que no se corre riesgo en cuanto a las aplicaciones publicadas se refiere, como por ejemplo, Fitbank, ya que para estas se tiene otro esquema, que no se afecta con la ejecución de este cambio.</w:t>
            </w:r>
          </w:p>
          <w:p w:rsidR="00DD3592" w:rsidRDefault="00DD3592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Santiago </w:t>
            </w:r>
            <w:r w:rsidR="00242EA1">
              <w:rPr>
                <w:rFonts w:ascii="Arial" w:hAnsi="Arial" w:cs="Arial"/>
                <w:sz w:val="20"/>
                <w:szCs w:val="20"/>
              </w:rPr>
              <w:t>Hernández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5412">
              <w:rPr>
                <w:rFonts w:ascii="Arial" w:hAnsi="Arial" w:cs="Arial"/>
                <w:sz w:val="20"/>
                <w:szCs w:val="20"/>
              </w:rPr>
              <w:t xml:space="preserve">indica que se deben optimizar las reglas que actualmente se tienen publicadas, ya </w:t>
            </w:r>
            <w:r w:rsidR="00F95412">
              <w:rPr>
                <w:rFonts w:ascii="Arial" w:hAnsi="Arial" w:cs="Arial"/>
                <w:sz w:val="20"/>
                <w:szCs w:val="20"/>
              </w:rPr>
              <w:lastRenderedPageBreak/>
              <w:t>que se tienen reglas publicadas en administraciones anteriores, y que deben ser analizadas y modificadas o eliminadas de ser el caso.</w:t>
            </w:r>
          </w:p>
          <w:p w:rsidR="00DD3592" w:rsidRDefault="00E7430A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acuerda que el día sábado se realizarán pruebas de conexión para verificar que en la </w:t>
            </w:r>
            <w:r w:rsidR="002768F4">
              <w:rPr>
                <w:rFonts w:ascii="Arial" w:hAnsi="Arial" w:cs="Arial"/>
                <w:sz w:val="20"/>
                <w:szCs w:val="20"/>
              </w:rPr>
              <w:t>Administración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Central se tenga conexión a internet, como primera validación.</w:t>
            </w:r>
          </w:p>
          <w:p w:rsidR="00DD3592" w:rsidRDefault="00E7430A" w:rsidP="00BE1114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acuerda que el día domingo se estará en StandBy, en conjunto con el proveedor, en relación a las 2 agencias que atienen en este día, para dar soporte en el menor tiempo, y gestionar posibles bloqueos a </w:t>
            </w:r>
            <w:r w:rsidR="002768F4">
              <w:rPr>
                <w:rFonts w:ascii="Arial" w:hAnsi="Arial" w:cs="Arial"/>
                <w:sz w:val="20"/>
                <w:szCs w:val="20"/>
              </w:rPr>
              <w:t>páginas</w:t>
            </w:r>
            <w:r>
              <w:rPr>
                <w:rFonts w:ascii="Arial" w:hAnsi="Arial" w:cs="Arial"/>
                <w:sz w:val="20"/>
                <w:szCs w:val="20"/>
              </w:rPr>
              <w:t xml:space="preserve"> especificas notificadas por los asesores de las mismas.</w:t>
            </w:r>
          </w:p>
          <w:p w:rsidR="00DD3592" w:rsidRDefault="00E7430A" w:rsidP="00242EA1">
            <w:pPr>
              <w:pStyle w:val="Prrafodelista"/>
              <w:numPr>
                <w:ilvl w:val="1"/>
                <w:numId w:val="11"/>
              </w:numPr>
              <w:spacing w:before="120"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acuerda dar soporte el día lunes desde las 8:00 am, en conjunto con el proveedor, para dar soporte a cualquier bloqueo causado por el nuevo firewall, hasta que se tenga el conocimiento necesario, para poder administrar el mismo</w:t>
            </w:r>
            <w:r w:rsidR="00242EA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91236" w:rsidRPr="00E7430A" w:rsidRDefault="00E7430A" w:rsidP="00D82D3B">
            <w:pPr>
              <w:pStyle w:val="Prrafodelista"/>
              <w:numPr>
                <w:ilvl w:val="1"/>
                <w:numId w:val="11"/>
              </w:numPr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cierra el comité, con el OK de cada uno de los presentes, el mismo queda planificado para el día sábado 20 de Julio, iniciando a las 17:00 con una duración de 3 horas</w:t>
            </w:r>
            <w:r w:rsidR="00242EA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42D5" w:rsidRPr="00BF7288" w:rsidTr="00D91747">
        <w:trPr>
          <w:trHeight w:val="255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F942D5" w:rsidRPr="00E33C55" w:rsidRDefault="00214146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lastRenderedPageBreak/>
              <w:t>Acuerdo</w:t>
            </w:r>
            <w:r w:rsidR="00F942D5" w:rsidRPr="00E33C55">
              <w:rPr>
                <w:rFonts w:ascii="Arial" w:hAnsi="Arial" w:cs="Arial"/>
                <w:b/>
                <w:sz w:val="20"/>
                <w:szCs w:val="20"/>
              </w:rPr>
              <w:t>(s):</w:t>
            </w:r>
          </w:p>
        </w:tc>
      </w:tr>
      <w:tr w:rsidR="00F942D5" w:rsidRPr="00BF7288" w:rsidTr="00D91747">
        <w:trPr>
          <w:trHeight w:val="285"/>
        </w:trPr>
        <w:tc>
          <w:tcPr>
            <w:tcW w:w="4019" w:type="dxa"/>
            <w:gridSpan w:val="5"/>
          </w:tcPr>
          <w:p w:rsidR="00F942D5" w:rsidRPr="00BF7288" w:rsidRDefault="00F942D5" w:rsidP="00A32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2979" w:type="dxa"/>
            <w:gridSpan w:val="3"/>
          </w:tcPr>
          <w:p w:rsidR="00F942D5" w:rsidRPr="00BF7288" w:rsidRDefault="00F942D5" w:rsidP="00A32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985" w:type="dxa"/>
            <w:gridSpan w:val="3"/>
          </w:tcPr>
          <w:p w:rsidR="00F942D5" w:rsidRPr="00BF7288" w:rsidRDefault="00F942D5" w:rsidP="00DE11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Fecha Inicio</w:t>
            </w:r>
          </w:p>
        </w:tc>
        <w:tc>
          <w:tcPr>
            <w:tcW w:w="1631" w:type="dxa"/>
            <w:gridSpan w:val="2"/>
          </w:tcPr>
          <w:p w:rsidR="00F942D5" w:rsidRPr="00BF7288" w:rsidRDefault="00F942D5" w:rsidP="00DD01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Fecha Fin.</w:t>
            </w:r>
          </w:p>
        </w:tc>
      </w:tr>
      <w:tr w:rsidR="004A1E75" w:rsidRPr="00BF7288" w:rsidTr="00D91747">
        <w:trPr>
          <w:trHeight w:val="255"/>
        </w:trPr>
        <w:tc>
          <w:tcPr>
            <w:tcW w:w="4019" w:type="dxa"/>
            <w:gridSpan w:val="5"/>
            <w:vAlign w:val="center"/>
          </w:tcPr>
          <w:p w:rsidR="004A1E75" w:rsidRPr="004C1332" w:rsidRDefault="00E7430A" w:rsidP="00E7430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Ejecutar pruebas de conexión el día sábado </w:t>
            </w:r>
            <w:r w:rsidR="00D91747">
              <w:rPr>
                <w:rFonts w:ascii="Arial" w:hAnsi="Arial" w:cs="Arial"/>
                <w:sz w:val="20"/>
                <w:szCs w:val="20"/>
              </w:rPr>
              <w:t xml:space="preserve">luego de la activación del firewall desde la </w:t>
            </w:r>
            <w:r w:rsidR="002768F4">
              <w:rPr>
                <w:rFonts w:ascii="Arial" w:hAnsi="Arial" w:cs="Arial"/>
                <w:sz w:val="20"/>
                <w:szCs w:val="20"/>
              </w:rPr>
              <w:t>Administración</w:t>
            </w:r>
            <w:r w:rsidR="00D91747">
              <w:rPr>
                <w:rFonts w:ascii="Arial" w:hAnsi="Arial" w:cs="Arial"/>
                <w:sz w:val="20"/>
                <w:szCs w:val="20"/>
              </w:rPr>
              <w:t xml:space="preserve"> Central, para validar la conexión a internet.</w:t>
            </w:r>
          </w:p>
        </w:tc>
        <w:tc>
          <w:tcPr>
            <w:tcW w:w="2979" w:type="dxa"/>
            <w:gridSpan w:val="3"/>
            <w:vAlign w:val="center"/>
          </w:tcPr>
          <w:p w:rsidR="00D91747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Técnica</w:t>
            </w:r>
          </w:p>
          <w:p w:rsidR="00D91747" w:rsidRPr="004C1332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985" w:type="dxa"/>
            <w:gridSpan w:val="3"/>
            <w:vAlign w:val="center"/>
          </w:tcPr>
          <w:p w:rsidR="004A1E75" w:rsidRPr="00D91747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 w:rsidRPr="00D91747">
              <w:rPr>
                <w:rFonts w:ascii="Arial" w:hAnsi="Arial" w:cs="Arial"/>
                <w:sz w:val="20"/>
                <w:szCs w:val="20"/>
              </w:rPr>
              <w:t>20/07/2019</w:t>
            </w:r>
          </w:p>
        </w:tc>
        <w:tc>
          <w:tcPr>
            <w:tcW w:w="1631" w:type="dxa"/>
            <w:gridSpan w:val="2"/>
            <w:vAlign w:val="center"/>
          </w:tcPr>
          <w:p w:rsidR="004A1E75" w:rsidRPr="00D91747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 w:rsidRPr="00D91747">
              <w:rPr>
                <w:rFonts w:ascii="Arial" w:hAnsi="Arial" w:cs="Arial"/>
                <w:sz w:val="20"/>
                <w:szCs w:val="20"/>
              </w:rPr>
              <w:t>20/07/2019</w:t>
            </w:r>
          </w:p>
        </w:tc>
      </w:tr>
      <w:tr w:rsidR="00B825BF" w:rsidRPr="00BF7288" w:rsidTr="00D91747">
        <w:trPr>
          <w:trHeight w:val="255"/>
        </w:trPr>
        <w:tc>
          <w:tcPr>
            <w:tcW w:w="4019" w:type="dxa"/>
            <w:gridSpan w:val="5"/>
            <w:vAlign w:val="center"/>
          </w:tcPr>
          <w:p w:rsidR="00B825BF" w:rsidRPr="004C1332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soporte a cualquier bloqueo que se presente en las agencias que se encuentren atendiendo el día domingo 21 de julio</w:t>
            </w:r>
          </w:p>
        </w:tc>
        <w:tc>
          <w:tcPr>
            <w:tcW w:w="2979" w:type="dxa"/>
            <w:gridSpan w:val="3"/>
            <w:vAlign w:val="center"/>
          </w:tcPr>
          <w:p w:rsidR="00B825BF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Técnica</w:t>
            </w:r>
          </w:p>
          <w:p w:rsidR="00D91747" w:rsidRPr="004C1332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985" w:type="dxa"/>
            <w:gridSpan w:val="3"/>
            <w:vAlign w:val="center"/>
          </w:tcPr>
          <w:p w:rsidR="00B825BF" w:rsidRPr="00D91747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 w:rsidRPr="00D91747">
              <w:rPr>
                <w:rFonts w:ascii="Arial" w:hAnsi="Arial" w:cs="Arial"/>
                <w:sz w:val="20"/>
                <w:szCs w:val="20"/>
              </w:rPr>
              <w:t>21/07/2019</w:t>
            </w:r>
          </w:p>
        </w:tc>
        <w:tc>
          <w:tcPr>
            <w:tcW w:w="1631" w:type="dxa"/>
            <w:gridSpan w:val="2"/>
            <w:vAlign w:val="center"/>
          </w:tcPr>
          <w:p w:rsidR="00B825BF" w:rsidRPr="00D91747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 w:rsidRPr="00D91747">
              <w:rPr>
                <w:rFonts w:ascii="Arial" w:hAnsi="Arial" w:cs="Arial"/>
                <w:sz w:val="20"/>
                <w:szCs w:val="20"/>
              </w:rPr>
              <w:t>21/07/2019</w:t>
            </w:r>
          </w:p>
        </w:tc>
      </w:tr>
      <w:tr w:rsidR="00D91747" w:rsidRPr="00BF7288" w:rsidTr="00D91747">
        <w:trPr>
          <w:trHeight w:val="255"/>
        </w:trPr>
        <w:tc>
          <w:tcPr>
            <w:tcW w:w="4019" w:type="dxa"/>
            <w:gridSpan w:val="5"/>
            <w:vAlign w:val="center"/>
          </w:tcPr>
          <w:p w:rsidR="00D91747" w:rsidRDefault="00D91747" w:rsidP="007253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soporte prioritario al área de operaciones en posibles bloqueos a </w:t>
            </w:r>
            <w:r w:rsidR="002768F4">
              <w:rPr>
                <w:rFonts w:ascii="Arial" w:hAnsi="Arial" w:cs="Arial"/>
                <w:sz w:val="20"/>
                <w:szCs w:val="20"/>
              </w:rPr>
              <w:t>páginas</w:t>
            </w:r>
            <w:r>
              <w:rPr>
                <w:rFonts w:ascii="Arial" w:hAnsi="Arial" w:cs="Arial"/>
                <w:sz w:val="20"/>
                <w:szCs w:val="20"/>
              </w:rPr>
              <w:t xml:space="preserve"> necesarias para la ejecución de procesos del día a día</w:t>
            </w:r>
          </w:p>
        </w:tc>
        <w:tc>
          <w:tcPr>
            <w:tcW w:w="2979" w:type="dxa"/>
            <w:gridSpan w:val="3"/>
            <w:vAlign w:val="center"/>
          </w:tcPr>
          <w:p w:rsidR="00D91747" w:rsidRDefault="00D91747" w:rsidP="00D917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Técnica</w:t>
            </w:r>
          </w:p>
          <w:p w:rsidR="00D91747" w:rsidRDefault="00D91747" w:rsidP="00D917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985" w:type="dxa"/>
            <w:gridSpan w:val="3"/>
            <w:vAlign w:val="center"/>
          </w:tcPr>
          <w:p w:rsidR="00D91747" w:rsidRPr="00D91747" w:rsidRDefault="00D91747" w:rsidP="005C1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D91747">
              <w:rPr>
                <w:rFonts w:ascii="Arial" w:hAnsi="Arial" w:cs="Arial"/>
                <w:sz w:val="20"/>
                <w:szCs w:val="20"/>
              </w:rPr>
              <w:t>/07/2019</w:t>
            </w:r>
          </w:p>
        </w:tc>
        <w:tc>
          <w:tcPr>
            <w:tcW w:w="1631" w:type="dxa"/>
            <w:gridSpan w:val="2"/>
            <w:vAlign w:val="center"/>
          </w:tcPr>
          <w:p w:rsidR="00D91747" w:rsidRPr="00D91747" w:rsidRDefault="00D91747" w:rsidP="005C1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D91747">
              <w:rPr>
                <w:rFonts w:ascii="Arial" w:hAnsi="Arial" w:cs="Arial"/>
                <w:sz w:val="20"/>
                <w:szCs w:val="20"/>
              </w:rPr>
              <w:t>/07/2019</w:t>
            </w:r>
          </w:p>
        </w:tc>
      </w:tr>
      <w:tr w:rsidR="00D91747" w:rsidRPr="00BF7288" w:rsidTr="00D91747">
        <w:trPr>
          <w:trHeight w:val="255"/>
        </w:trPr>
        <w:tc>
          <w:tcPr>
            <w:tcW w:w="10614" w:type="dxa"/>
            <w:gridSpan w:val="13"/>
            <w:shd w:val="clear" w:color="auto" w:fill="BFBFBF" w:themeFill="background1" w:themeFillShade="BF"/>
          </w:tcPr>
          <w:p w:rsidR="00D91747" w:rsidRPr="00E33C55" w:rsidRDefault="00D91747" w:rsidP="00E1793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33C55">
              <w:rPr>
                <w:rFonts w:ascii="Arial" w:hAnsi="Arial" w:cs="Arial"/>
                <w:b/>
                <w:sz w:val="20"/>
                <w:szCs w:val="20"/>
              </w:rPr>
              <w:t>Participantes:</w:t>
            </w:r>
          </w:p>
        </w:tc>
      </w:tr>
      <w:tr w:rsidR="00D91747" w:rsidRPr="00BF7288" w:rsidTr="00D91747">
        <w:trPr>
          <w:trHeight w:val="255"/>
        </w:trPr>
        <w:tc>
          <w:tcPr>
            <w:tcW w:w="3768" w:type="dxa"/>
            <w:gridSpan w:val="4"/>
          </w:tcPr>
          <w:p w:rsidR="00D91747" w:rsidRPr="00BF7288" w:rsidRDefault="00D91747" w:rsidP="00894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4190" w:type="dxa"/>
            <w:gridSpan w:val="5"/>
          </w:tcPr>
          <w:p w:rsidR="00D91747" w:rsidRPr="00BF7288" w:rsidRDefault="00D91747" w:rsidP="00894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894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288"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</w:tr>
      <w:tr w:rsidR="00D91747" w:rsidRPr="00BF7288" w:rsidTr="00D91747">
        <w:trPr>
          <w:trHeight w:val="509"/>
        </w:trPr>
        <w:tc>
          <w:tcPr>
            <w:tcW w:w="3768" w:type="dxa"/>
            <w:gridSpan w:val="4"/>
            <w:vAlign w:val="center"/>
          </w:tcPr>
          <w:p w:rsidR="00D91747" w:rsidRPr="0092752D" w:rsidRDefault="00D91747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Zambrano</w:t>
            </w:r>
          </w:p>
        </w:tc>
        <w:tc>
          <w:tcPr>
            <w:tcW w:w="4190" w:type="dxa"/>
            <w:gridSpan w:val="5"/>
            <w:vAlign w:val="center"/>
          </w:tcPr>
          <w:p w:rsidR="00D91747" w:rsidRPr="0092752D" w:rsidRDefault="00D91747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Riesgo Integral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AF6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47" w:rsidRPr="00BF7288" w:rsidTr="00D91747">
        <w:trPr>
          <w:trHeight w:val="547"/>
        </w:trPr>
        <w:tc>
          <w:tcPr>
            <w:tcW w:w="3768" w:type="dxa"/>
            <w:gridSpan w:val="4"/>
            <w:vAlign w:val="center"/>
          </w:tcPr>
          <w:p w:rsidR="00D91747" w:rsidRPr="0092752D" w:rsidRDefault="00D91747" w:rsidP="005C168D">
            <w:pPr>
              <w:rPr>
                <w:rFonts w:ascii="Arial" w:hAnsi="Arial" w:cs="Arial"/>
                <w:sz w:val="20"/>
                <w:szCs w:val="20"/>
              </w:rPr>
            </w:pPr>
            <w:r w:rsidRPr="0092752D">
              <w:rPr>
                <w:rFonts w:ascii="Arial" w:hAnsi="Arial" w:cs="Arial"/>
                <w:sz w:val="20"/>
                <w:szCs w:val="20"/>
              </w:rPr>
              <w:t>Samuel Caguana</w:t>
            </w:r>
          </w:p>
        </w:tc>
        <w:tc>
          <w:tcPr>
            <w:tcW w:w="4190" w:type="dxa"/>
            <w:gridSpan w:val="5"/>
            <w:vAlign w:val="center"/>
          </w:tcPr>
          <w:p w:rsidR="00D91747" w:rsidRPr="0092752D" w:rsidRDefault="00D91747" w:rsidP="005C168D">
            <w:pPr>
              <w:rPr>
                <w:rFonts w:ascii="Arial" w:hAnsi="Arial" w:cs="Arial"/>
                <w:sz w:val="20"/>
                <w:szCs w:val="20"/>
              </w:rPr>
            </w:pPr>
            <w:r w:rsidRPr="0092752D">
              <w:rPr>
                <w:rFonts w:ascii="Arial" w:hAnsi="Arial" w:cs="Arial"/>
                <w:sz w:val="20"/>
                <w:szCs w:val="20"/>
              </w:rPr>
              <w:t>Director Operaciones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47" w:rsidRPr="00BF7288" w:rsidTr="00D91747">
        <w:trPr>
          <w:trHeight w:val="547"/>
        </w:trPr>
        <w:tc>
          <w:tcPr>
            <w:tcW w:w="3768" w:type="dxa"/>
            <w:gridSpan w:val="4"/>
            <w:vAlign w:val="center"/>
          </w:tcPr>
          <w:p w:rsidR="00D91747" w:rsidRPr="0092752D" w:rsidRDefault="00D91747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Hugo Chanatasig</w:t>
            </w:r>
          </w:p>
        </w:tc>
        <w:tc>
          <w:tcPr>
            <w:tcW w:w="4190" w:type="dxa"/>
            <w:gridSpan w:val="5"/>
            <w:vAlign w:val="center"/>
          </w:tcPr>
          <w:p w:rsidR="00D91747" w:rsidRPr="0092752D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Riesgo Operativo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47" w:rsidRPr="00BF7288" w:rsidTr="00D91747">
        <w:trPr>
          <w:trHeight w:val="547"/>
        </w:trPr>
        <w:tc>
          <w:tcPr>
            <w:tcW w:w="3768" w:type="dxa"/>
            <w:gridSpan w:val="4"/>
            <w:vAlign w:val="center"/>
          </w:tcPr>
          <w:p w:rsidR="00D91747" w:rsidRPr="0092752D" w:rsidRDefault="00D91747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Vinicio Cevallos</w:t>
            </w:r>
          </w:p>
        </w:tc>
        <w:tc>
          <w:tcPr>
            <w:tcW w:w="4190" w:type="dxa"/>
            <w:gridSpan w:val="5"/>
            <w:vAlign w:val="center"/>
          </w:tcPr>
          <w:p w:rsidR="00D91747" w:rsidRPr="0092752D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Seguridad de la Información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47" w:rsidRPr="00BF7288" w:rsidTr="00D91747">
        <w:trPr>
          <w:trHeight w:val="551"/>
        </w:trPr>
        <w:tc>
          <w:tcPr>
            <w:tcW w:w="3768" w:type="dxa"/>
            <w:gridSpan w:val="4"/>
            <w:vAlign w:val="center"/>
          </w:tcPr>
          <w:p w:rsidR="00D91747" w:rsidRPr="0092752D" w:rsidRDefault="00D91747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Santiago </w:t>
            </w:r>
            <w:r w:rsidR="002768F4">
              <w:rPr>
                <w:rFonts w:ascii="Arial" w:hAnsi="Arial" w:cs="Arial"/>
                <w:sz w:val="20"/>
                <w:szCs w:val="20"/>
              </w:rPr>
              <w:t>Hernández</w:t>
            </w:r>
          </w:p>
        </w:tc>
        <w:tc>
          <w:tcPr>
            <w:tcW w:w="4190" w:type="dxa"/>
            <w:gridSpan w:val="5"/>
            <w:vAlign w:val="center"/>
          </w:tcPr>
          <w:p w:rsidR="00D91747" w:rsidRPr="0092752D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Analista </w:t>
            </w:r>
            <w:r>
              <w:rPr>
                <w:rFonts w:ascii="Arial" w:hAnsi="Arial" w:cs="Arial"/>
                <w:sz w:val="20"/>
                <w:szCs w:val="20"/>
              </w:rPr>
              <w:t>Seguridad de la Información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47" w:rsidRPr="00BF7288" w:rsidTr="00D91747">
        <w:trPr>
          <w:trHeight w:val="551"/>
        </w:trPr>
        <w:tc>
          <w:tcPr>
            <w:tcW w:w="3768" w:type="dxa"/>
            <w:gridSpan w:val="4"/>
            <w:vAlign w:val="center"/>
          </w:tcPr>
          <w:p w:rsidR="00D91747" w:rsidRPr="0092752D" w:rsidRDefault="00D91747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Omar Redroban</w:t>
            </w:r>
          </w:p>
        </w:tc>
        <w:tc>
          <w:tcPr>
            <w:tcW w:w="4190" w:type="dxa"/>
            <w:gridSpan w:val="5"/>
            <w:vAlign w:val="center"/>
          </w:tcPr>
          <w:p w:rsidR="00D91747" w:rsidRPr="0092752D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Gestión Técnica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747" w:rsidRPr="00BF7288" w:rsidTr="00D91747">
        <w:trPr>
          <w:trHeight w:val="551"/>
        </w:trPr>
        <w:tc>
          <w:tcPr>
            <w:tcW w:w="3768" w:type="dxa"/>
            <w:gridSpan w:val="4"/>
            <w:vAlign w:val="center"/>
          </w:tcPr>
          <w:p w:rsidR="00D91747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Cesar Fonseca</w:t>
            </w:r>
          </w:p>
        </w:tc>
        <w:tc>
          <w:tcPr>
            <w:tcW w:w="4190" w:type="dxa"/>
            <w:gridSpan w:val="5"/>
            <w:vAlign w:val="center"/>
          </w:tcPr>
          <w:p w:rsidR="00D91747" w:rsidRPr="0092752D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Gestión Técnica</w:t>
            </w:r>
          </w:p>
        </w:tc>
        <w:tc>
          <w:tcPr>
            <w:tcW w:w="2656" w:type="dxa"/>
            <w:gridSpan w:val="4"/>
          </w:tcPr>
          <w:p w:rsidR="00D91747" w:rsidRPr="00BF7288" w:rsidRDefault="00D91747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8F4" w:rsidRPr="00BF7288" w:rsidTr="00D91747">
        <w:trPr>
          <w:trHeight w:val="551"/>
        </w:trPr>
        <w:tc>
          <w:tcPr>
            <w:tcW w:w="3768" w:type="dxa"/>
            <w:gridSpan w:val="4"/>
            <w:vAlign w:val="center"/>
          </w:tcPr>
          <w:p w:rsidR="002768F4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Rommel Pillajo</w:t>
            </w:r>
          </w:p>
        </w:tc>
        <w:tc>
          <w:tcPr>
            <w:tcW w:w="4190" w:type="dxa"/>
            <w:gridSpan w:val="5"/>
            <w:vAlign w:val="center"/>
          </w:tcPr>
          <w:p w:rsidR="002768F4" w:rsidRPr="0092752D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Mesa de Servicios</w:t>
            </w:r>
          </w:p>
        </w:tc>
        <w:tc>
          <w:tcPr>
            <w:tcW w:w="2656" w:type="dxa"/>
            <w:gridSpan w:val="4"/>
          </w:tcPr>
          <w:p w:rsidR="002768F4" w:rsidRPr="00BF7288" w:rsidRDefault="002768F4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68F4" w:rsidRPr="00BF7288" w:rsidTr="002768F4">
        <w:trPr>
          <w:trHeight w:val="575"/>
        </w:trPr>
        <w:tc>
          <w:tcPr>
            <w:tcW w:w="3768" w:type="dxa"/>
            <w:gridSpan w:val="4"/>
            <w:vAlign w:val="center"/>
          </w:tcPr>
          <w:p w:rsidR="002768F4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Xavier Albán</w:t>
            </w:r>
          </w:p>
        </w:tc>
        <w:tc>
          <w:tcPr>
            <w:tcW w:w="4190" w:type="dxa"/>
            <w:gridSpan w:val="5"/>
            <w:vAlign w:val="center"/>
          </w:tcPr>
          <w:p w:rsidR="002768F4" w:rsidRPr="0092752D" w:rsidRDefault="002768F4" w:rsidP="009275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Control de Versiones y Calidad</w:t>
            </w:r>
          </w:p>
        </w:tc>
        <w:tc>
          <w:tcPr>
            <w:tcW w:w="2656" w:type="dxa"/>
            <w:gridSpan w:val="4"/>
          </w:tcPr>
          <w:p w:rsidR="002768F4" w:rsidRPr="00BF7288" w:rsidRDefault="002768F4" w:rsidP="00AF60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65B6" w:rsidRDefault="008F65B6" w:rsidP="007A2E00">
      <w:pPr>
        <w:spacing w:after="0" w:line="240" w:lineRule="auto"/>
        <w:rPr>
          <w:rFonts w:ascii="Arial" w:hAnsi="Arial" w:cs="Arial"/>
          <w:b/>
        </w:rPr>
      </w:pPr>
    </w:p>
    <w:sectPr w:rsidR="008F65B6" w:rsidSect="00A311DD">
      <w:headerReference w:type="default" r:id="rId9"/>
      <w:footerReference w:type="default" r:id="rId10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9AD" w:rsidRDefault="00FE09AD" w:rsidP="00F7713F">
      <w:pPr>
        <w:spacing w:after="0" w:line="240" w:lineRule="auto"/>
      </w:pPr>
      <w:r>
        <w:separator/>
      </w:r>
    </w:p>
  </w:endnote>
  <w:endnote w:type="continuationSeparator" w:id="0">
    <w:p w:rsidR="00FE09AD" w:rsidRDefault="00FE09AD" w:rsidP="00F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ndelGotDLig">
    <w:altName w:val="Tahoma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95267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A2E00" w:rsidRDefault="007E3F88">
            <w:pPr>
              <w:pStyle w:val="Piedepgina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A2E00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D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7A2E00">
              <w:rPr>
                <w:lang w:val="es-ES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A2E00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D3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2E00" w:rsidRDefault="007A2E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9AD" w:rsidRDefault="00FE09AD" w:rsidP="00F7713F">
      <w:pPr>
        <w:spacing w:after="0" w:line="240" w:lineRule="auto"/>
      </w:pPr>
      <w:r>
        <w:separator/>
      </w:r>
    </w:p>
  </w:footnote>
  <w:footnote w:type="continuationSeparator" w:id="0">
    <w:p w:rsidR="00FE09AD" w:rsidRDefault="00FE09AD" w:rsidP="00F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8"/>
      <w:gridCol w:w="6364"/>
      <w:gridCol w:w="1386"/>
    </w:tblGrid>
    <w:tr w:rsidR="00BA7323" w:rsidRPr="00F87478" w:rsidTr="00BA7323">
      <w:trPr>
        <w:cantSplit/>
        <w:trHeight w:val="207"/>
        <w:jc w:val="center"/>
      </w:trPr>
      <w:tc>
        <w:tcPr>
          <w:tcW w:w="1371" w:type="pct"/>
          <w:vMerge w:val="restart"/>
          <w:vAlign w:val="center"/>
        </w:tcPr>
        <w:p w:rsidR="00BA7323" w:rsidRPr="00865A47" w:rsidRDefault="00BA7323" w:rsidP="009948BE">
          <w:pPr>
            <w:pStyle w:val="Ttulo2"/>
          </w:pPr>
          <w:r>
            <w:object w:dxaOrig="3661" w:dyaOrig="1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7.1pt;height:47.25pt" o:ole="">
                <v:imagedata r:id="rId1" o:title=""/>
              </v:shape>
              <o:OLEObject Type="Embed" ProgID="Visio.Drawing.15" ShapeID="_x0000_i1025" DrawAspect="Content" ObjectID="_1624798849" r:id="rId2"/>
            </w:object>
          </w:r>
        </w:p>
      </w:tc>
      <w:tc>
        <w:tcPr>
          <w:tcW w:w="2980" w:type="pct"/>
          <w:vMerge w:val="restart"/>
          <w:tcBorders>
            <w:right w:val="single" w:sz="4" w:space="0" w:color="auto"/>
          </w:tcBorders>
          <w:vAlign w:val="center"/>
        </w:tcPr>
        <w:p w:rsidR="00BA7323" w:rsidRDefault="00BA7323" w:rsidP="00BD72ED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BA7323">
            <w:rPr>
              <w:rFonts w:ascii="Arial" w:hAnsi="Arial" w:cs="Arial"/>
              <w:b/>
              <w:sz w:val="16"/>
              <w:szCs w:val="16"/>
            </w:rPr>
            <w:t>ACTA DE REUNIÓN</w:t>
          </w:r>
        </w:p>
        <w:p w:rsidR="00B925E8" w:rsidRPr="00BA7323" w:rsidRDefault="00B925E8" w:rsidP="00BD72E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COMITÉ DE CAMBIOS</w:t>
          </w:r>
        </w:p>
      </w:tc>
      <w:tc>
        <w:tcPr>
          <w:tcW w:w="649" w:type="pc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A7323" w:rsidRPr="00BA7323" w:rsidRDefault="00BA7323" w:rsidP="00BA7323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  <w:r w:rsidRPr="00BA7323">
            <w:rPr>
              <w:rFonts w:cs="Arial"/>
              <w:b/>
              <w:sz w:val="16"/>
              <w:szCs w:val="16"/>
              <w:highlight w:val="yellow"/>
            </w:rPr>
            <w:t>No. 001</w:t>
          </w:r>
        </w:p>
      </w:tc>
    </w:tr>
    <w:tr w:rsidR="00BA7323" w:rsidRPr="00F87478" w:rsidTr="00BA7323">
      <w:trPr>
        <w:cantSplit/>
        <w:trHeight w:val="230"/>
        <w:jc w:val="center"/>
      </w:trPr>
      <w:tc>
        <w:tcPr>
          <w:tcW w:w="1371" w:type="pct"/>
          <w:vMerge/>
          <w:vAlign w:val="center"/>
        </w:tcPr>
        <w:p w:rsidR="00BA7323" w:rsidRDefault="00BA7323" w:rsidP="009948BE">
          <w:pPr>
            <w:pStyle w:val="Ttulo2"/>
          </w:pPr>
        </w:p>
      </w:tc>
      <w:tc>
        <w:tcPr>
          <w:tcW w:w="2980" w:type="pct"/>
          <w:vMerge/>
          <w:tcBorders>
            <w:right w:val="single" w:sz="4" w:space="0" w:color="auto"/>
          </w:tcBorders>
          <w:vAlign w:val="center"/>
        </w:tcPr>
        <w:p w:rsidR="00BA7323" w:rsidRPr="00BA7323" w:rsidRDefault="00BA7323" w:rsidP="00BD72ED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649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:rsidR="00BA7323" w:rsidRPr="00BA7323" w:rsidRDefault="00BA7323" w:rsidP="00BA7323">
          <w:pPr>
            <w:spacing w:after="0"/>
            <w:jc w:val="center"/>
            <w:rPr>
              <w:rFonts w:cs="Arial"/>
              <w:b/>
              <w:sz w:val="16"/>
              <w:szCs w:val="16"/>
              <w:highlight w:val="yellow"/>
            </w:rPr>
          </w:pPr>
          <w:r w:rsidRPr="00BA7323">
            <w:rPr>
              <w:rFonts w:cs="Arial"/>
              <w:b/>
              <w:sz w:val="16"/>
              <w:szCs w:val="16"/>
            </w:rPr>
            <w:t>Información Privada</w:t>
          </w:r>
        </w:p>
      </w:tc>
    </w:tr>
  </w:tbl>
  <w:p w:rsidR="007A2E00" w:rsidRDefault="007A2E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1BC"/>
    <w:multiLevelType w:val="hybridMultilevel"/>
    <w:tmpl w:val="B1C091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95AC7"/>
    <w:multiLevelType w:val="hybridMultilevel"/>
    <w:tmpl w:val="9C20E9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DEB"/>
    <w:multiLevelType w:val="hybridMultilevel"/>
    <w:tmpl w:val="1E6A10D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D7675"/>
    <w:multiLevelType w:val="hybridMultilevel"/>
    <w:tmpl w:val="7C7E5B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A2A8C"/>
    <w:multiLevelType w:val="hybridMultilevel"/>
    <w:tmpl w:val="3416A3A0"/>
    <w:lvl w:ilvl="0" w:tplc="CF903CD4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45E69AC"/>
    <w:multiLevelType w:val="hybridMultilevel"/>
    <w:tmpl w:val="68560CC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AE5779"/>
    <w:multiLevelType w:val="hybridMultilevel"/>
    <w:tmpl w:val="E8BE6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00CEE"/>
    <w:multiLevelType w:val="hybridMultilevel"/>
    <w:tmpl w:val="F8800A5E"/>
    <w:lvl w:ilvl="0" w:tplc="03EA6E9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D5E1D"/>
    <w:multiLevelType w:val="hybridMultilevel"/>
    <w:tmpl w:val="B5A2A3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EE7DBF"/>
    <w:multiLevelType w:val="hybridMultilevel"/>
    <w:tmpl w:val="C7965D3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D53E4B"/>
    <w:multiLevelType w:val="hybridMultilevel"/>
    <w:tmpl w:val="55E0EE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96F41"/>
    <w:multiLevelType w:val="hybridMultilevel"/>
    <w:tmpl w:val="D17E8B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ED01E5"/>
    <w:multiLevelType w:val="hybridMultilevel"/>
    <w:tmpl w:val="B176A1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62B4E"/>
    <w:multiLevelType w:val="hybridMultilevel"/>
    <w:tmpl w:val="CE9029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2177E5"/>
    <w:multiLevelType w:val="hybridMultilevel"/>
    <w:tmpl w:val="888E1ED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356708"/>
    <w:multiLevelType w:val="hybridMultilevel"/>
    <w:tmpl w:val="92E00772"/>
    <w:lvl w:ilvl="0" w:tplc="17B24520">
      <w:start w:val="1"/>
      <w:numFmt w:val="lowerLetter"/>
      <w:lvlText w:val="%1)"/>
      <w:lvlJc w:val="left"/>
      <w:pPr>
        <w:ind w:left="783" w:hanging="360"/>
      </w:pPr>
      <w:rPr>
        <w:rFonts w:hint="default"/>
        <w:b/>
      </w:rPr>
    </w:lvl>
    <w:lvl w:ilvl="1" w:tplc="30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>
    <w:nsid w:val="72CE1CDC"/>
    <w:multiLevelType w:val="hybridMultilevel"/>
    <w:tmpl w:val="8F460D60"/>
    <w:lvl w:ilvl="0" w:tplc="79FA1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1516C1"/>
    <w:multiLevelType w:val="hybridMultilevel"/>
    <w:tmpl w:val="BDAC11E4"/>
    <w:lvl w:ilvl="0" w:tplc="9350E84E">
      <w:start w:val="1"/>
      <w:numFmt w:val="decimal"/>
      <w:lvlText w:val="6.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C2947"/>
    <w:multiLevelType w:val="hybridMultilevel"/>
    <w:tmpl w:val="6E82CF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6"/>
  </w:num>
  <w:num w:numId="5">
    <w:abstractNumId w:val="8"/>
  </w:num>
  <w:num w:numId="6">
    <w:abstractNumId w:val="3"/>
  </w:num>
  <w:num w:numId="7">
    <w:abstractNumId w:val="18"/>
  </w:num>
  <w:num w:numId="8">
    <w:abstractNumId w:val="1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17"/>
  </w:num>
  <w:num w:numId="14">
    <w:abstractNumId w:val="14"/>
  </w:num>
  <w:num w:numId="15">
    <w:abstractNumId w:val="5"/>
  </w:num>
  <w:num w:numId="16">
    <w:abstractNumId w:val="15"/>
  </w:num>
  <w:num w:numId="17">
    <w:abstractNumId w:val="0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39"/>
    <w:rsid w:val="000046EB"/>
    <w:rsid w:val="00011AB3"/>
    <w:rsid w:val="000338F7"/>
    <w:rsid w:val="00057E09"/>
    <w:rsid w:val="00072231"/>
    <w:rsid w:val="00077491"/>
    <w:rsid w:val="00095F72"/>
    <w:rsid w:val="000963FE"/>
    <w:rsid w:val="000A4F30"/>
    <w:rsid w:val="000B3895"/>
    <w:rsid w:val="000B3EBE"/>
    <w:rsid w:val="000C05E8"/>
    <w:rsid w:val="000C5FE6"/>
    <w:rsid w:val="000D3C1E"/>
    <w:rsid w:val="000E382E"/>
    <w:rsid w:val="000F653B"/>
    <w:rsid w:val="000F798E"/>
    <w:rsid w:val="00112822"/>
    <w:rsid w:val="00122816"/>
    <w:rsid w:val="00126833"/>
    <w:rsid w:val="00151C55"/>
    <w:rsid w:val="0015536B"/>
    <w:rsid w:val="001640E1"/>
    <w:rsid w:val="001665E2"/>
    <w:rsid w:val="0016708E"/>
    <w:rsid w:val="00172958"/>
    <w:rsid w:val="00172AC1"/>
    <w:rsid w:val="00173330"/>
    <w:rsid w:val="00196374"/>
    <w:rsid w:val="001A1889"/>
    <w:rsid w:val="001A3E78"/>
    <w:rsid w:val="001A456C"/>
    <w:rsid w:val="001B23E3"/>
    <w:rsid w:val="001C2332"/>
    <w:rsid w:val="001D2EE9"/>
    <w:rsid w:val="001D4E84"/>
    <w:rsid w:val="001E2F4A"/>
    <w:rsid w:val="00202C10"/>
    <w:rsid w:val="00214146"/>
    <w:rsid w:val="0022187A"/>
    <w:rsid w:val="00223B87"/>
    <w:rsid w:val="00223C75"/>
    <w:rsid w:val="002266AA"/>
    <w:rsid w:val="00230182"/>
    <w:rsid w:val="00231A52"/>
    <w:rsid w:val="00242EA1"/>
    <w:rsid w:val="00255370"/>
    <w:rsid w:val="002615D2"/>
    <w:rsid w:val="00272CD6"/>
    <w:rsid w:val="002768F4"/>
    <w:rsid w:val="00277E57"/>
    <w:rsid w:val="002804AE"/>
    <w:rsid w:val="00285A63"/>
    <w:rsid w:val="002871C3"/>
    <w:rsid w:val="002A678E"/>
    <w:rsid w:val="002D1E40"/>
    <w:rsid w:val="002D29B8"/>
    <w:rsid w:val="002F3F4F"/>
    <w:rsid w:val="00315278"/>
    <w:rsid w:val="00320CA4"/>
    <w:rsid w:val="00324DC7"/>
    <w:rsid w:val="00326186"/>
    <w:rsid w:val="00332C92"/>
    <w:rsid w:val="00336967"/>
    <w:rsid w:val="00347534"/>
    <w:rsid w:val="00364499"/>
    <w:rsid w:val="00366D16"/>
    <w:rsid w:val="0037021E"/>
    <w:rsid w:val="0037108D"/>
    <w:rsid w:val="00371EFA"/>
    <w:rsid w:val="0037765F"/>
    <w:rsid w:val="003A57BA"/>
    <w:rsid w:val="003B4F2F"/>
    <w:rsid w:val="003B697C"/>
    <w:rsid w:val="003C0AAC"/>
    <w:rsid w:val="003C6BEF"/>
    <w:rsid w:val="003D69DD"/>
    <w:rsid w:val="003E254A"/>
    <w:rsid w:val="003F0192"/>
    <w:rsid w:val="003F7501"/>
    <w:rsid w:val="00406EEE"/>
    <w:rsid w:val="004109B5"/>
    <w:rsid w:val="00413C39"/>
    <w:rsid w:val="0041661F"/>
    <w:rsid w:val="00433147"/>
    <w:rsid w:val="00456CC5"/>
    <w:rsid w:val="00461F58"/>
    <w:rsid w:val="00471F3B"/>
    <w:rsid w:val="0047288D"/>
    <w:rsid w:val="0047419E"/>
    <w:rsid w:val="00493A14"/>
    <w:rsid w:val="004A1E75"/>
    <w:rsid w:val="004A201A"/>
    <w:rsid w:val="004B016F"/>
    <w:rsid w:val="004B4FF9"/>
    <w:rsid w:val="004B6E67"/>
    <w:rsid w:val="004C1332"/>
    <w:rsid w:val="004D1CD7"/>
    <w:rsid w:val="004F2B88"/>
    <w:rsid w:val="00505084"/>
    <w:rsid w:val="0052066F"/>
    <w:rsid w:val="00525B55"/>
    <w:rsid w:val="00526760"/>
    <w:rsid w:val="00535F9F"/>
    <w:rsid w:val="00541DC4"/>
    <w:rsid w:val="00542A96"/>
    <w:rsid w:val="00553626"/>
    <w:rsid w:val="0056162B"/>
    <w:rsid w:val="00570A7F"/>
    <w:rsid w:val="0057267B"/>
    <w:rsid w:val="005810C0"/>
    <w:rsid w:val="00581E38"/>
    <w:rsid w:val="00583C6D"/>
    <w:rsid w:val="00594D4D"/>
    <w:rsid w:val="005A49D2"/>
    <w:rsid w:val="005B10C4"/>
    <w:rsid w:val="005E1EB1"/>
    <w:rsid w:val="005F66B6"/>
    <w:rsid w:val="00617C4A"/>
    <w:rsid w:val="00620820"/>
    <w:rsid w:val="00622FED"/>
    <w:rsid w:val="00624430"/>
    <w:rsid w:val="006375D1"/>
    <w:rsid w:val="006537B3"/>
    <w:rsid w:val="006700AD"/>
    <w:rsid w:val="0067536A"/>
    <w:rsid w:val="006927C3"/>
    <w:rsid w:val="00694381"/>
    <w:rsid w:val="006B2D93"/>
    <w:rsid w:val="006C223D"/>
    <w:rsid w:val="006F6FDE"/>
    <w:rsid w:val="00703595"/>
    <w:rsid w:val="0071305B"/>
    <w:rsid w:val="00714084"/>
    <w:rsid w:val="0072531C"/>
    <w:rsid w:val="00734985"/>
    <w:rsid w:val="0074008E"/>
    <w:rsid w:val="00741E70"/>
    <w:rsid w:val="0077466E"/>
    <w:rsid w:val="007748CA"/>
    <w:rsid w:val="00782B1C"/>
    <w:rsid w:val="007855EF"/>
    <w:rsid w:val="007943E3"/>
    <w:rsid w:val="007A2E00"/>
    <w:rsid w:val="007C0967"/>
    <w:rsid w:val="007D178E"/>
    <w:rsid w:val="007D3011"/>
    <w:rsid w:val="007E3F88"/>
    <w:rsid w:val="008013A8"/>
    <w:rsid w:val="00810189"/>
    <w:rsid w:val="00823D58"/>
    <w:rsid w:val="00823D87"/>
    <w:rsid w:val="008321B5"/>
    <w:rsid w:val="00836223"/>
    <w:rsid w:val="00855A1F"/>
    <w:rsid w:val="0086044C"/>
    <w:rsid w:val="00865A47"/>
    <w:rsid w:val="008704A6"/>
    <w:rsid w:val="00880D4B"/>
    <w:rsid w:val="008872FF"/>
    <w:rsid w:val="0089409E"/>
    <w:rsid w:val="008A4812"/>
    <w:rsid w:val="008B3897"/>
    <w:rsid w:val="008B3A55"/>
    <w:rsid w:val="008C2540"/>
    <w:rsid w:val="008E52C6"/>
    <w:rsid w:val="008E6495"/>
    <w:rsid w:val="008F3B7F"/>
    <w:rsid w:val="008F65B6"/>
    <w:rsid w:val="00900E7F"/>
    <w:rsid w:val="009056FE"/>
    <w:rsid w:val="00912208"/>
    <w:rsid w:val="009201BC"/>
    <w:rsid w:val="00924147"/>
    <w:rsid w:val="0092752D"/>
    <w:rsid w:val="0095142B"/>
    <w:rsid w:val="009529AD"/>
    <w:rsid w:val="00956C99"/>
    <w:rsid w:val="00957BDC"/>
    <w:rsid w:val="00967A47"/>
    <w:rsid w:val="00983AC5"/>
    <w:rsid w:val="009870C3"/>
    <w:rsid w:val="00987214"/>
    <w:rsid w:val="009948BE"/>
    <w:rsid w:val="009A5F50"/>
    <w:rsid w:val="009B4D8C"/>
    <w:rsid w:val="009C57C7"/>
    <w:rsid w:val="009F5C0F"/>
    <w:rsid w:val="00A1107C"/>
    <w:rsid w:val="00A11455"/>
    <w:rsid w:val="00A136B2"/>
    <w:rsid w:val="00A311DD"/>
    <w:rsid w:val="00A32288"/>
    <w:rsid w:val="00A344F0"/>
    <w:rsid w:val="00A43112"/>
    <w:rsid w:val="00A43C6B"/>
    <w:rsid w:val="00A44203"/>
    <w:rsid w:val="00A55F4A"/>
    <w:rsid w:val="00A82FEC"/>
    <w:rsid w:val="00AA13D5"/>
    <w:rsid w:val="00AA6104"/>
    <w:rsid w:val="00AB70FB"/>
    <w:rsid w:val="00AC16CC"/>
    <w:rsid w:val="00AC5720"/>
    <w:rsid w:val="00AD0594"/>
    <w:rsid w:val="00AD2EC6"/>
    <w:rsid w:val="00AD3D44"/>
    <w:rsid w:val="00AE025C"/>
    <w:rsid w:val="00AE7846"/>
    <w:rsid w:val="00AE7A1F"/>
    <w:rsid w:val="00AF6060"/>
    <w:rsid w:val="00B01F67"/>
    <w:rsid w:val="00B0766A"/>
    <w:rsid w:val="00B170DC"/>
    <w:rsid w:val="00B234D6"/>
    <w:rsid w:val="00B41B70"/>
    <w:rsid w:val="00B45E6D"/>
    <w:rsid w:val="00B54A39"/>
    <w:rsid w:val="00B5768A"/>
    <w:rsid w:val="00B612B2"/>
    <w:rsid w:val="00B825BF"/>
    <w:rsid w:val="00B925E8"/>
    <w:rsid w:val="00B92DD3"/>
    <w:rsid w:val="00B9414B"/>
    <w:rsid w:val="00BA6E15"/>
    <w:rsid w:val="00BA7323"/>
    <w:rsid w:val="00BD3F8A"/>
    <w:rsid w:val="00BD4CA9"/>
    <w:rsid w:val="00BD4D39"/>
    <w:rsid w:val="00BD72ED"/>
    <w:rsid w:val="00BE1114"/>
    <w:rsid w:val="00BF7288"/>
    <w:rsid w:val="00C07932"/>
    <w:rsid w:val="00C12C54"/>
    <w:rsid w:val="00C13701"/>
    <w:rsid w:val="00C138F6"/>
    <w:rsid w:val="00C16444"/>
    <w:rsid w:val="00C174D7"/>
    <w:rsid w:val="00C3585A"/>
    <w:rsid w:val="00C36A2D"/>
    <w:rsid w:val="00C54B8C"/>
    <w:rsid w:val="00C756E3"/>
    <w:rsid w:val="00C87DAA"/>
    <w:rsid w:val="00C938B8"/>
    <w:rsid w:val="00CC31DA"/>
    <w:rsid w:val="00CC33EC"/>
    <w:rsid w:val="00D047C5"/>
    <w:rsid w:val="00D22BEF"/>
    <w:rsid w:val="00D41699"/>
    <w:rsid w:val="00D53E00"/>
    <w:rsid w:val="00D63CC2"/>
    <w:rsid w:val="00D66940"/>
    <w:rsid w:val="00D82D3B"/>
    <w:rsid w:val="00D87C0D"/>
    <w:rsid w:val="00D9118E"/>
    <w:rsid w:val="00D91236"/>
    <w:rsid w:val="00D91747"/>
    <w:rsid w:val="00D918C2"/>
    <w:rsid w:val="00DA03FB"/>
    <w:rsid w:val="00DA55E4"/>
    <w:rsid w:val="00DA74ED"/>
    <w:rsid w:val="00DB1B9F"/>
    <w:rsid w:val="00DB72D3"/>
    <w:rsid w:val="00DC2214"/>
    <w:rsid w:val="00DC75ED"/>
    <w:rsid w:val="00DD01B1"/>
    <w:rsid w:val="00DD3592"/>
    <w:rsid w:val="00DD64AF"/>
    <w:rsid w:val="00DE11F0"/>
    <w:rsid w:val="00DE1EDE"/>
    <w:rsid w:val="00DE512F"/>
    <w:rsid w:val="00DF550D"/>
    <w:rsid w:val="00DF7147"/>
    <w:rsid w:val="00E152D8"/>
    <w:rsid w:val="00E1793F"/>
    <w:rsid w:val="00E234DD"/>
    <w:rsid w:val="00E23804"/>
    <w:rsid w:val="00E2576D"/>
    <w:rsid w:val="00E27C44"/>
    <w:rsid w:val="00E321E6"/>
    <w:rsid w:val="00E33C55"/>
    <w:rsid w:val="00E40519"/>
    <w:rsid w:val="00E4057F"/>
    <w:rsid w:val="00E4088C"/>
    <w:rsid w:val="00E41A14"/>
    <w:rsid w:val="00E437FA"/>
    <w:rsid w:val="00E60DB2"/>
    <w:rsid w:val="00E7430A"/>
    <w:rsid w:val="00E7554A"/>
    <w:rsid w:val="00E77488"/>
    <w:rsid w:val="00E868E8"/>
    <w:rsid w:val="00E935DC"/>
    <w:rsid w:val="00E9495F"/>
    <w:rsid w:val="00EB743F"/>
    <w:rsid w:val="00EC1CBF"/>
    <w:rsid w:val="00EC3786"/>
    <w:rsid w:val="00EC45EC"/>
    <w:rsid w:val="00EE0C62"/>
    <w:rsid w:val="00EE67B5"/>
    <w:rsid w:val="00EF3F14"/>
    <w:rsid w:val="00F52FBB"/>
    <w:rsid w:val="00F7713F"/>
    <w:rsid w:val="00F942D5"/>
    <w:rsid w:val="00F95412"/>
    <w:rsid w:val="00FA08FA"/>
    <w:rsid w:val="00FA6263"/>
    <w:rsid w:val="00FB407C"/>
    <w:rsid w:val="00FC437F"/>
    <w:rsid w:val="00FC7BC2"/>
    <w:rsid w:val="00FE09AD"/>
    <w:rsid w:val="00FE675C"/>
    <w:rsid w:val="00FF710E"/>
    <w:rsid w:val="00FF7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7F"/>
  </w:style>
  <w:style w:type="paragraph" w:styleId="Ttulo1">
    <w:name w:val="heading 1"/>
    <w:basedOn w:val="Normal"/>
    <w:next w:val="Normal"/>
    <w:link w:val="Ttulo1Car"/>
    <w:uiPriority w:val="9"/>
    <w:qFormat/>
    <w:rsid w:val="00AC5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A678E"/>
    <w:pPr>
      <w:keepNext/>
      <w:spacing w:after="0" w:line="240" w:lineRule="auto"/>
      <w:jc w:val="center"/>
      <w:outlineLvl w:val="1"/>
    </w:pPr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C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13F"/>
  </w:style>
  <w:style w:type="paragraph" w:styleId="Piedepgina">
    <w:name w:val="footer"/>
    <w:basedOn w:val="Normal"/>
    <w:link w:val="Piedepgina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13F"/>
  </w:style>
  <w:style w:type="paragraph" w:styleId="Textodeglobo">
    <w:name w:val="Balloon Text"/>
    <w:basedOn w:val="Normal"/>
    <w:link w:val="TextodegloboCar"/>
    <w:uiPriority w:val="99"/>
    <w:semiHidden/>
    <w:unhideWhenUsed/>
    <w:rsid w:val="00F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1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9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A678E"/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5616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162B"/>
  </w:style>
  <w:style w:type="character" w:styleId="Textoennegrita">
    <w:name w:val="Strong"/>
    <w:basedOn w:val="Fuentedeprrafopredeter"/>
    <w:uiPriority w:val="22"/>
    <w:qFormat/>
    <w:rsid w:val="0056162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C5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7F"/>
  </w:style>
  <w:style w:type="paragraph" w:styleId="Ttulo1">
    <w:name w:val="heading 1"/>
    <w:basedOn w:val="Normal"/>
    <w:next w:val="Normal"/>
    <w:link w:val="Ttulo1Car"/>
    <w:uiPriority w:val="9"/>
    <w:qFormat/>
    <w:rsid w:val="00AC5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A678E"/>
    <w:pPr>
      <w:keepNext/>
      <w:spacing w:after="0" w:line="240" w:lineRule="auto"/>
      <w:jc w:val="center"/>
      <w:outlineLvl w:val="1"/>
    </w:pPr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C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13F"/>
  </w:style>
  <w:style w:type="paragraph" w:styleId="Piedepgina">
    <w:name w:val="footer"/>
    <w:basedOn w:val="Normal"/>
    <w:link w:val="PiedepginaCar"/>
    <w:uiPriority w:val="99"/>
    <w:unhideWhenUsed/>
    <w:rsid w:val="00F771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13F"/>
  </w:style>
  <w:style w:type="paragraph" w:styleId="Textodeglobo">
    <w:name w:val="Balloon Text"/>
    <w:basedOn w:val="Normal"/>
    <w:link w:val="TextodegloboCar"/>
    <w:uiPriority w:val="99"/>
    <w:semiHidden/>
    <w:unhideWhenUsed/>
    <w:rsid w:val="00F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1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9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A678E"/>
    <w:rPr>
      <w:rFonts w:ascii="HandelGotDLig" w:eastAsia="Times New Roman" w:hAnsi="HandelGotDLig" w:cs="Times New Roman"/>
      <w:b/>
      <w:color w:val="000000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56162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162B"/>
  </w:style>
  <w:style w:type="character" w:styleId="Textoennegrita">
    <w:name w:val="Strong"/>
    <w:basedOn w:val="Fuentedeprrafopredeter"/>
    <w:uiPriority w:val="22"/>
    <w:qFormat/>
    <w:rsid w:val="0056162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C5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Dibujo_de_Microsoft_Visio11.vsd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20F7B-161F-4C75-B629-63B10FA2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ULLOA</dc:creator>
  <cp:lastModifiedBy>XAVIER SANTIAGO ALBAN NARVAEZ</cp:lastModifiedBy>
  <cp:revision>3</cp:revision>
  <cp:lastPrinted>2016-02-22T20:04:00Z</cp:lastPrinted>
  <dcterms:created xsi:type="dcterms:W3CDTF">2019-05-31T22:23:00Z</dcterms:created>
  <dcterms:modified xsi:type="dcterms:W3CDTF">2019-07-16T21:14:00Z</dcterms:modified>
</cp:coreProperties>
</file>