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Sí. Cumplimos en el plazo todas las actividades de la Fase 2 – Avance que marca la carta Gantt: el levantamiento de requerimientos, el modelamiento de la base de datos, la diagramación UML y la arquitectura, y el diseño técnico con los requisitos no funcionales. El hito de entrega del avance se cumple este 12 de octubre. Además, ya comenzamos la programación, que corresponde a la Fase 2 Final. La única actividad con atraso es el módulo de autenticación, y el atraso es menor.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Factores que facilitaron el avance: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Violeta, la clienta, respondió rápido nuestras consultas. Por ejemplo, preguntamos por el vencimiento de los productos el 5 de octubre y el 8 ya teníamos la decisión, así que pudimos cerrar los requerimientos y el modelo de datos a tiempo.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Los roles quedaron definidos desde la Fase 1, y eso nos permitió avanzar en paralelo.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La retroalimentación de los docentes sobre el MER llegó antes de cerrar el modelo.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El control de versiones con GitHub y el diseño en Figma nos dejaron una buena base para empezar a programar.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Factores que dificultaron el avance: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Los cambios de alcance durante la fase: la decisión de no gestionar el vencimiento en bodega nos obligó a rehacer parte del MER y de los requerimientos.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La implementación de la autenticación tomó más tiempo del previsto.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Al módulo de autenticación le dimos la primera prioridad en el tablero Scrumban. Lo vamos a cerrar antes de empezar las integraciones con Mercado Pago y Blue Express, porque las compras y el panel dependen de las cuentas y los roles. Así el atraso no se traslada a la Fase 2 Final.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Frente a los cambios de alcance, ahora registramos cada decisión de la clienta con su fecha y su efecto en el modelo antes de seguir diseñando. Así, cuando algo cambia, sabemos de inmediato qué documentos y qué partes del sistema hay que actualizar.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Para las integraciones externas, que dependen de terceros, mantenemos la contingencia de la Fase 1: si la API de envíos se retrasa, usaremos una tarifa de envío fija por zona.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Evaluamos nuestro trabajo de forma positiva: cumplimos el avance a tiempo y con la documentación completa.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Destacamos la trazabilidad entre los entregables. Los 116 requerimientos funcionales están cubiertos por 59 historias de usuario con 166 criterios de aceptación, y esas historias forman el Product Backlog priorizado, con 271 puntos. El MER, los diagramas UML y los requisitos no funcionales con métricas responden a esos mismos requerimientos, y el diseño del frontend en Figma ya está listo para programar.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Para mejorar, queremos: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Revisar entre los tres, con Planning Poker, las estimaciones de puntos de historia y la priorización.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Mantener el tablero Scrumban actualizado con más frecuencia, para tener buenas métricas de flujo.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Dejar más holgura en las tareas de programación para que atrasos como el de autenticación no se acumulen.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Nos queda la inquietud de cuánto debe estar funcionando la plataforma para la presentación de la Fase 2 Final, ya que el backlog es amplio. También nos preocupan las dependencias externas: el proveedor de inteligencia artificial para las descripciones de productos aún no está definido, y Blue Express no tiene un plan de respaldo.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Preguntas para la docente: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¿Qué flujos mínimos debe mostrar la demostración de la Fase 2 Final? Por ejemplo, ¿basta con la compra completa con pago en ambiente de prueba?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¿Es aceptable usar una tarifa fija por zona como respaldo si la integración con Blue Express se retrasa?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¿Las secciones del DAS que no evalúa el avance deben quedar completas desde ahora o pueden completarse para la entrega final?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Pregunta para nuestros pares: ¿qué experiencia han tenido integrando Mercado Pago, sobre todo con las notificaciones (webhooks) y el ambiente de pruebas?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No consideramos necesario redistribuir las actividades. La división definida en la Fase 1 funcionó y cada integrante cumplió con lo que le correspondía. Si el atraso en autenticación creciera, los responsables del backend podrían apoyar esa tarea en forma puntual.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Sí aparece una actividad nueva: incorporar Redis, que sumamos a la arquitectura el 9 de octubre, para manejar colas de trabajos, límite de peticiones, revocación de sesiones y caché. Su uso en el backend queda a cargo de José Toledo y Ana Garrido, y su inclusión en el docker-compose, de Bayron Barra y José Toledo, en la actividad de despliegue de la Fase 3.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Evaluamos bien el trabajo en grupo. Como aspectos positivos destacamos: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La buena comunicación entre nosotros y con la clienta.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Haber avanzado en paralelo gracias a roles claros.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Haber tomado en conjunto las decisiones técnicas importantes, como el cambio en el manejo del vencimiento y la incorporación de Redis.</w:t>
            </w:r>
          </w:p>
          <w:p>
            <w:pPr>
              <w:spacing w:before="0" w:after="100" w:line="276" w:lineRule="auto"/>
              <w:jc w:val="both"/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262626"/>
                <w:sz w:val="22"/>
                <w:szCs w:val="22"/>
              </w:rPr>
              <w:t xml:space="preserve">Como aspectos a mejorar: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Revisar entre todos cada documento antes de entregarlo, en lugar de que cada uno revise solo lo suyo.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Actualizar el tablero con más regularidad, para que todos sepamos en qué está cada tarea sin tener que preguntar.</w:t>
            </w:r>
          </w:p>
          <w:p>
            <w:pPr>
              <w:spacing w:before="0" w:after="100" w:line="276" w:lineRule="auto"/>
              <w:ind w:left="284" w:hanging="284"/>
              <w:jc w:val="both"/>
              <w:rPr>
                <w:rFonts w:ascii="Calibri" w:hAnsi="Calibri"/>
                <w:color w:val="262626"/>
                <w:sz w:val="22"/>
                <w:szCs w:val="22"/>
              </w:rPr>
            </w:pPr>
            <w:r>
              <w:rPr>
                <w:rFonts w:ascii="Calibri" w:hAnsi="Calibri"/>
                <w:color w:val="262626"/>
                <w:sz w:val="22"/>
                <w:szCs w:val="22"/>
              </w:rPr>
              <w:t xml:space="preserve">• Avisar antes cuando una tarea se atrasa, como pasó con la autenticación.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