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0"/>
          <w:szCs w:val="40"/>
          <w:rtl w:val="0"/>
        </w:rPr>
        <w:t xml:space="preserve">Trazabilidad: Casos de Uso vs.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Proyecto: Cabello Perfecto  |  Fecha: Septiembre 2026  |  Fase 1 (Entrega Semana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1. Objetivos Específicos de Referencia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000000" w:space="0" w:sz="0" w:val="nil"/>
          <w:bottom w:color="1b365d" w:space="0" w:sz="6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 del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O1: Comercial /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Aumentar la facturación digital a [X]% de las ventas totales (línea base: 0 ventas online), vía apertura de canales B2C y B2B, en los primeros 6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O2: Operativo / Mermas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Reducir en [X]% las pérdidas por productos vencidos o deteriorados en 6 meses, gracias a la mayor rotación de stock impulsada por la venta mayorista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O3: Fidelización / Recompra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Alcanzar una tasa de recompra mensual del [X]% entre profesionales B2B validados, en 6 meses.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bottom w:color="dddddd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2. Matriz de Trazabilidad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000000" w:space="0" w:sz="0" w:val="nil"/>
          <w:bottom w:color="1b365d" w:space="0" w:sz="6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O1 (Ventas)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O2 (Mermas)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O3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Explorar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Punto de entrada al canal digital; habilita el descubrimiento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Habilita compras registradas tanto en modalidad B2C como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Confirmar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 obligatorio para asegurar la validez de la cuenta y habilitar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Etapa operativa directa del embudo de conversión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Realizar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Concreta la venta directa (O1); en clientes profesionales verificados computa como recompra (O3).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Elegir método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 necesario para definir retiro o despacho en la orden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Cotizar despacho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Provee transparencia tarifaria previa al cierre de la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Pagar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Formaliza y liquida la transacción en el canal de facturación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Consultar estado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 postventa que refuerza la experiencia y promueve la retención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Solicitar verificación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Punto de partida para habilitar precios mayoristas y compras recurrentes B2B.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Adjuntar antecedentes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Requisito adjunto necesario para validar la categoría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Resolver solicitud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Acción administrativa que activa al profesional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Configurar precios diferenciados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Sostiene venta general (O1), rotación de stock (O2) e incentivo de compra mayorista (O3).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a6d3b"/>
                <w:sz w:val="15"/>
                <w:szCs w:val="15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Mantiene la oferta activa (O1). En teoría apoya O2, aunque requiere campos de caducidad.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Gestionar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Estructura la navegación del catálogo para agilizar el proceso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Actualizar estado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Garantiza la trazabilidad operativa y el cumplimiento del pedido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bottom w:color="dddddd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3. Casos de Uso Transversales o de Soporte (Sin Trazabilidad Directa)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Estos casos de uso resultan indispensables para el funcionamiento y seguridad de la plataforma, aunque no impactan de forma directa en los tres indicadores comerciales definidos: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Iniciar sesión / Cerrar sesión: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Requisitos técnicos de autenticación y control de acceso.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Cerrar sesión en todos los dispositivos: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Variante técnica orientada a seguridad de sesiones concurrentes.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Recuperar contraseña: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Mecanismo de soporte y restablecimiento de credenciales.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Gestionar roles y permisos: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Administración del esquema RBAC interno del sistema.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Gestionar personal de tienda: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Mantenimiento administrativo de las cuentas de colaboradores.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Generar descripción con 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Optimización operativa interna en la creación de fichas de producto.</w:t>
      </w:r>
    </w:p>
    <w:p w:rsidR="00000000" w:rsidDel="00000000" w:rsidP="00000000" w:rsidRDefault="00000000" w:rsidRPr="00000000" w14:paraId="0000006C">
      <w:pPr>
        <w:pBdr>
          <w:bottom w:color="dddddd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120" w:before="160" w:lineRule="auto"/>
        <w:rPr/>
      </w:pPr>
      <w:r w:rsidDel="00000000" w:rsidR="00000000" w:rsidRPr="00000000">
        <w:rPr>
          <w:b w:val="1"/>
          <w:bCs w:val="1"/>
          <w:color w:val="1b365d"/>
          <w:sz w:val="26"/>
          <w:szCs w:val="26"/>
          <w:rtl w:val="0"/>
        </w:rPr>
        <w:t xml:space="preserve">4. Diagnóstico de Cobertura y Observación Técnica sobre 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Cobertura de O1 y O3: </w:t>
      </w:r>
      <w:r w:rsidDel="00000000" w:rsidR="00000000" w:rsidRPr="00000000">
        <w:rPr>
          <w:rtl w:val="0"/>
        </w:rPr>
        <w:t xml:space="preserve">Ambos objetivos cuentan con una cobertura amplia a través del catálogo, el flujo de compra y la validación de perfiles B2B, sin vacíos conceptuales.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• Observación sobre O2 (Control de Mermas): </w:t>
      </w:r>
      <w:r w:rsidDel="00000000" w:rsidR="00000000" w:rsidRPr="00000000">
        <w:rPr>
          <w:rtl w:val="0"/>
        </w:rPr>
        <w:t xml:space="preserve">El objetivo plantea la reducción de pérdidas por productos vencidos o deteriorados. Sin embargo, el modelo relacional actual (entidad PRODUCTO) no cuenta con atributos de fecha de vencimiento, caducidad o registro de lotes.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18" w:val="single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Cursos de acción para O2: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Ajuste en el Modelo de Datos: </w:t>
            </w:r>
            <w:r w:rsidDel="00000000" w:rsidR="00000000" w:rsidRPr="00000000">
              <w:rPr>
                <w:rtl w:val="0"/>
              </w:rPr>
              <w:t xml:space="preserve">Incorporar atributos como fecha_vencimiento o stock_baja en la entidad PRODUCTO para registrar y medir la merma.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Readecuación del Objetivo: </w:t>
            </w:r>
            <w:r w:rsidDel="00000000" w:rsidR="00000000" w:rsidRPr="00000000">
              <w:rPr>
                <w:rtl w:val="0"/>
              </w:rPr>
              <w:t xml:space="preserve">Si el inventario de la tienda está compuesto predominantemente por artículos sin vencimiento perecible (como herramientas o cosméticos de larga vida útil), redefinir el indicador hacia quiebres de stock o mermas logísticas en despacho.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