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40"/>
          <w:szCs w:val="40"/>
          <w:rtl w:val="0"/>
        </w:rPr>
        <w:t xml:space="preserve">Trazabilidad: Casos de Uso vs.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rPr/>
      </w:pPr>
      <w:r w:rsidDel="00000000" w:rsidR="00000000" w:rsidRPr="00000000">
        <w:rPr>
          <w:color w:val="666666"/>
          <w:sz w:val="19"/>
          <w:szCs w:val="19"/>
          <w:rtl w:val="0"/>
        </w:rPr>
        <w:t xml:space="preserve">Proyecto: Cabello Perfecto  |  Fecha: Septiembre 2026  |  Fase 1 (Entrega Semana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120" w:before="160" w:lineRule="auto"/>
        <w:rPr/>
      </w:pPr>
      <w:r w:rsidDel="00000000" w:rsidR="00000000" w:rsidRPr="00000000">
        <w:rPr>
          <w:b w:val="1"/>
          <w:bCs w:val="1"/>
          <w:color w:val="1b365d"/>
          <w:sz w:val="26"/>
          <w:szCs w:val="26"/>
          <w:rtl w:val="0"/>
        </w:rPr>
        <w:t xml:space="preserve">1. Objetivos Específicos de Referencia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cccccc" w:space="0" w:sz="4" w:val="single"/>
          <w:left w:color="000000" w:space="0" w:sz="0" w:val="nil"/>
          <w:bottom w:color="1b365d" w:space="0" w:sz="6" w:val="single"/>
          <w:right w:color="000000" w:space="0" w:sz="0" w:val="nil"/>
          <w:insideH w:color="e0e0e0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 del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O1: Comercial /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Aumentar la facturación digital a 20% de las ventas totales (línea base: 0 ventas online), vía apertura de canales B2C y B2B, en los primeros 6 meses.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O2: Operativo / Mermas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Reducir en 25% las pérdidas por productos vencidos o deteriorados en 6 meses, gracias a la mayor rotación de stock impulsada por la venta mayorista B2B.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O3: Fidelización / Recompra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Alcanzar una tasa de recompra mensual del 25% entre profesionales B2B validados, en 6 meses.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1"/>
        <w:spacing w:after="120" w:before="160" w:lineRule="auto"/>
        <w:rPr/>
      </w:pPr>
      <w:r w:rsidDel="00000000" w:rsidR="00000000" w:rsidRPr="00000000">
        <w:rPr>
          <w:b w:val="1"/>
          <w:bCs w:val="1"/>
          <w:color w:val="1b365d"/>
          <w:sz w:val="26"/>
          <w:szCs w:val="26"/>
          <w:rtl w:val="0"/>
        </w:rPr>
        <w:t xml:space="preserve">2. Matriz de Trazabilidad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cccccc" w:space="0" w:sz="4" w:val="single"/>
          <w:left w:color="000000" w:space="0" w:sz="0" w:val="nil"/>
          <w:bottom w:color="1b365d" w:space="0" w:sz="6" w:val="single"/>
          <w:right w:color="000000" w:space="0" w:sz="0" w:val="nil"/>
          <w:insideH w:color="e0e0e0" w:space="0" w:sz="4" w:val="single"/>
          <w:insideV w:color="000000" w:space="0" w:sz="0" w:val="nil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O1 (Ventas)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O2 (Mermas)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O3 (B2B)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Explorar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Punto de entrada al canal digital, habilita el descubrimiento de productos para 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Registrarse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Habilita compras registradas tanto en modalidad B2C como B2B.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Confirmar correo electrónico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 obligatorio para asegurar la validez de la cuenta y habilitar la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Gestionar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Etapa operativa directa del embudo de conversión de ventas.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Realizar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Concreta la venta directa (O1); en clientes profesionales verificados computa como recompra (O3).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Elegir método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 necesario para definir retiro o despacho en la orden de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Cotizar despacho a domicilio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Provee transparencia tarifaria previa al cierre de la transacción.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Pagar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Formaliza y liquida la transacción en el canal de facturación digital.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Consultar estado de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Servicio postventa que refuerza la experiencia y promueve la retención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Solicitar verificación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Punto de partida para habilitar precios mayoristas y compras recurrentes B2B.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Adjuntar antecedentes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Requisito adjunto necesario para validar la categoría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Resolver solicitud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Acción administrativa que activa al profesional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Configurar precios diferenciados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Sostiene venta general (O1), rotación de stock (O2) e incentivo de compra mayorista (O3).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Gestionar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a6d3b"/>
                <w:sz w:val="15"/>
                <w:szCs w:val="15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Mantiene la oferta activa (O1). En teoría apoya O2, aunque requiere campos de caducidad.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Gestionar categorías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Estructura la navegación del catálogo para agilizar el proceso de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Actualizar estado de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Garantiza la trazabilidad operativa y el cumplimiento del pedido digital.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1"/>
        <w:spacing w:after="120" w:before="1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1"/>
        <w:szCs w:val="21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aIWiGYD3K9vgLEH7s0KKmgIQWA==">CgMxLjA4AHIhMWppdUY1cU9uSnRXXzZBS25Wb0dOR0V6ZUtDQ2JsakNf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