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jc w:val="center"/>
      </w:pPr>
      <w:r>
        <w:rPr>
          <w:b/>
          <w:bCs/>
          <w:color w:val="1F3864"/>
          <w:sz w:val="32"/>
          <w:szCs w:val="32"/>
        </w:rPr>
        <w:t xml:space="preserve">ANÁLISE PROCESSUAL</w:t>
      </w:r>
    </w:p>
    <w:p>
      <w:pPr>
        <w:spacing w:after="60" w:before="0"/>
        <w:jc w:val="center"/>
      </w:pPr>
      <w:r>
        <w:rPr>
          <w:b/>
          <w:bCs/>
          <w:i w:val="false"/>
          <w:iCs w:val="false"/>
          <w:sz w:val="22"/>
          <w:szCs w:val="22"/>
        </w:rPr>
        <w:t xml:space="preserve">Converty Recuperadora de Ativos</w:t>
      </w:r>
    </w:p>
    <w:p>
      <w:pPr>
        <w:spacing w:after="240" w:before="0"/>
        <w:jc w:val="center"/>
      </w:pPr>
      <w:r>
        <w:rPr>
          <w:b w:val="false"/>
          <w:bCs w:val="false"/>
          <w:i/>
          <w:iCs/>
          <w:sz w:val="20"/>
          <w:szCs w:val="20"/>
        </w:rPr>
        <w:t xml:space="preserve">Atuação em favor da parte Ativa (Exequente)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sz w:val="20"/>
                <w:szCs w:val="20"/>
              </w:rPr>
              <w:t xml:space="preserve">Nº do Processo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5000729-91.2026.8.21.0058</w:t>
            </w:r>
          </w:p>
        </w:tc>
      </w:tr>
      <w:t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sz w:val="20"/>
                <w:szCs w:val="20"/>
              </w:rPr>
              <w:t xml:space="preserve">Classe da Ação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Execução de Título Extrajudicial (CCB nº 5003005-2025.006792-6)</w:t>
            </w:r>
          </w:p>
        </w:tc>
      </w:tr>
      <w:t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sz w:val="20"/>
                <w:szCs w:val="20"/>
              </w:rPr>
              <w:t xml:space="preserve">Órgão Julgador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1ª Vara Judicial da Comarca de Nova Prata/RS – TJRS (Eproc 1º Grau)</w:t>
            </w:r>
          </w:p>
        </w:tc>
      </w:tr>
      <w:t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sz w:val="20"/>
                <w:szCs w:val="20"/>
              </w:rPr>
              <w:t xml:space="preserve">Juiz(a)</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Dra. Ana Lúcia Todeschini Martinez</w:t>
            </w:r>
          </w:p>
        </w:tc>
      </w:tr>
      <w:t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sz w:val="20"/>
                <w:szCs w:val="20"/>
              </w:rPr>
              <w:t xml:space="preserve">Data de Autuação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13/02/2026</w:t>
            </w:r>
          </w:p>
        </w:tc>
      </w:tr>
      <w:t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sz w:val="20"/>
                <w:szCs w:val="20"/>
              </w:rPr>
              <w:t xml:space="preserve">Situação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Em movimento – fase inicial (pré-citação)</w:t>
            </w:r>
          </w:p>
        </w:tc>
      </w:tr>
      <w:t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sz w:val="20"/>
                <w:szCs w:val="20"/>
              </w:rPr>
              <w:t xml:space="preserve">Exequente (Credor)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COOPERATIVA DE CRÉDITO E INVESTIMENTO COM INTERAÇÃO SOLIDÁRIA DO RIO GRANDE DO SUL – CRESOL RIO GRANDE DO SUL (CNPJ 06.139.650/0001-07)</w:t>
            </w:r>
          </w:p>
        </w:tc>
      </w:tr>
      <w:t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sz w:val="20"/>
                <w:szCs w:val="20"/>
              </w:rPr>
              <w:t xml:space="preserve">Procuradora</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Dra. Gabrieli Fontana – OAB/RS 60.762 (Converty Recuperadora de Ativos)</w:t>
            </w:r>
          </w:p>
        </w:tc>
      </w:tr>
    </w:tbl>
    <w:p>
      <w:pPr>
        <w:pStyle w:val="Heading2"/>
        <w:pBdr>
          <w:bottom w:val="single" w:color="1F3864" w:sz="6" w:space="4"/>
        </w:pBdr>
        <w:spacing w:after="160" w:before="300"/>
      </w:pPr>
      <w:r>
        <w:rPr>
          <w:b/>
          <w:bCs/>
          <w:color w:val="1F3864"/>
          <w:sz w:val="26"/>
          <w:szCs w:val="26"/>
        </w:rPr>
        <w:t xml:space="preserve">1. Valor da Causa</w:t>
      </w:r>
    </w:p>
    <w:p>
      <w:pPr>
        <w:spacing w:after="120" w:before="0"/>
        <w:jc w:val="both"/>
      </w:pPr>
      <w:r>
        <w:rPr>
          <w:b w:val="false"/>
          <w:bCs w:val="false"/>
          <w:i w:val="false"/>
          <w:iCs w:val="false"/>
          <w:sz w:val="22"/>
          <w:szCs w:val="22"/>
        </w:rPr>
        <w:t xml:space="preserve">O valor atribuído à causa, atualizado até a data da distribuição (13/02/2026), é de R$ 258.022,10 (duzentos e cinquenta e oito mil, vinte e dois reais e dez centavos).</w:t>
      </w:r>
    </w:p>
    <w:p>
      <w:pPr>
        <w:spacing w:after="80" w:before="0"/>
        <w:jc w:val="both"/>
      </w:pPr>
      <w:r>
        <w:rPr>
          <w:b w:val="false"/>
          <w:bCs w:val="false"/>
          <w:i w:val="false"/>
          <w:iCs w:val="false"/>
          <w:sz w:val="22"/>
          <w:szCs w:val="22"/>
        </w:rPr>
        <w:t xml:space="preserve">O débito origina-se da Cédula de Crédito Bancário nº 5003005-2025.006792-6, emitida em 12/03/2025, no valor original de R$ 190.210,95 (com liberação em 17/03/2025), parcela única com vencimento em 10/07/2025, inadimplida pelos executados.</w:t>
      </w:r>
    </w:p>
    <w:p>
      <w:pPr>
        <w:spacing w:after="80" w:before="0"/>
        <w:jc w:val="both"/>
      </w:pPr>
      <w:r>
        <w:rPr>
          <w:b/>
          <w:bCs/>
          <w:i w:val="false"/>
          <w:iCs w:val="false"/>
          <w:sz w:val="22"/>
          <w:szCs w:val="22"/>
        </w:rPr>
        <w:t xml:space="preserve">Composição do débito (cálculo ábacus 6.0 anexo aos autos):</w:t>
      </w:r>
    </w:p>
    <w:p>
      <w:pPr>
        <w:pStyle w:val="ListParagraph"/>
        <w:numPr>
          <w:ilvl w:val="0"/>
          <w:numId w:val="2"/>
        </w:numPr>
        <w:spacing w:after="80"/>
      </w:pPr>
      <w:r>
        <w:rPr>
          <w:sz w:val="22"/>
          <w:szCs w:val="22"/>
        </w:rPr>
        <w:t xml:space="preserve">Saldo principal atualizado: R$ 239.852,59</w:t>
      </w:r>
    </w:p>
    <w:p>
      <w:pPr>
        <w:pStyle w:val="ListParagraph"/>
        <w:numPr>
          <w:ilvl w:val="0"/>
          <w:numId w:val="2"/>
        </w:numPr>
        <w:spacing w:after="80"/>
      </w:pPr>
      <w:r>
        <w:rPr>
          <w:sz w:val="22"/>
          <w:szCs w:val="22"/>
        </w:rPr>
        <w:t xml:space="preserve">Juros moratórios (1% a.m. desde 11/07/2025): R$ 13.372,46</w:t>
      </w:r>
    </w:p>
    <w:p>
      <w:pPr>
        <w:pStyle w:val="ListParagraph"/>
        <w:numPr>
          <w:ilvl w:val="0"/>
          <w:numId w:val="2"/>
        </w:numPr>
        <w:spacing w:after="80"/>
      </w:pPr>
      <w:r>
        <w:rPr>
          <w:sz w:val="22"/>
          <w:szCs w:val="22"/>
        </w:rPr>
        <w:t xml:space="preserve">Multa contratual (2% sobre base de cálculo R$ 239.852,59): R$ 4.797,05</w:t>
      </w:r>
    </w:p>
    <w:p>
      <w:pPr>
        <w:pStyle w:val="ListParagraph"/>
        <w:numPr>
          <w:ilvl w:val="0"/>
          <w:numId w:val="2"/>
        </w:numPr>
        <w:spacing w:after="80"/>
      </w:pPr>
      <w:r>
        <w:rPr>
          <w:sz w:val="22"/>
          <w:szCs w:val="22"/>
        </w:rPr>
        <w:t xml:space="preserve">Pagamentos parciais computados (abatidos): R$ 3.700,61</w:t>
      </w:r>
    </w:p>
    <w:p>
      <w:pPr>
        <w:pStyle w:val="ListParagraph"/>
        <w:numPr>
          <w:ilvl w:val="0"/>
          <w:numId w:val="2"/>
        </w:numPr>
        <w:spacing w:after="80"/>
      </w:pPr>
      <w:r>
        <w:rPr>
          <w:sz w:val="22"/>
          <w:szCs w:val="22"/>
        </w:rPr>
        <w:t xml:space="preserve">Encargos remuneratórios: juros de 2,30% a.m. capitalizados mensalmente</w:t>
      </w:r>
    </w:p>
    <w:p>
      <w:pPr>
        <w:pStyle w:val="Heading2"/>
        <w:pBdr>
          <w:bottom w:val="single" w:color="1F3864" w:sz="6" w:space="4"/>
        </w:pBdr>
        <w:spacing w:after="160" w:before="300"/>
      </w:pPr>
      <w:r>
        <w:rPr>
          <w:b/>
          <w:bCs/>
          <w:color w:val="1F3864"/>
          <w:sz w:val="26"/>
          <w:szCs w:val="26"/>
        </w:rPr>
        <w:t xml:space="preserve">2. Partes – Devedor e Avalistas</w:t>
      </w:r>
    </w:p>
    <w:p>
      <w:pPr>
        <w:spacing w:after="120" w:before="0"/>
        <w:jc w:val="both"/>
      </w:pPr>
      <w:r>
        <w:rPr>
          <w:b w:val="false"/>
          <w:bCs w:val="false"/>
          <w:i w:val="false"/>
          <w:iCs w:val="false"/>
          <w:sz w:val="22"/>
          <w:szCs w:val="22"/>
        </w:rPr>
        <w:t xml:space="preserve">Trata-se de responsabilidade solidária entre a devedora principal e os avalistas, equiparando-se os avalistas ao devedor principal (art. 26 e 28 da Lei 10.931/2004):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100"/>
        <w:gridCol w:w="23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Nome</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CPF</w:t>
            </w:r>
          </w:p>
        </w:tc>
        <w:tc>
          <w:tcPr>
            <w:tcW w:type="dxa" w:w="2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Qualificação no Título</w:t>
            </w:r>
          </w:p>
        </w:tc>
        <w:tc>
          <w:tcPr>
            <w:tcW w:type="dxa" w:w="2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Endereço</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ALINE ANTUNES GARDA BREGALDA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025.829.640-26</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Devedora Principal (Emitente da CCB)</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 Prof. Cerilo Borrim, 108 – Guabiju/RS (endereço atualizado em 22/04/2026)</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CLEITON ANTUNES GARDA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031.843.290-03</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Avalista / Responsável Solidário</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Mesmo endereço de Aline – Guabiju/RS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CRISTIANO ANTUNES GARDA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028.972.600-09</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Avalista / Responsável Solidário</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 Dionísio Barbosa Telles, 109 – Área Industrial – Guabiju/RS</w:t>
            </w:r>
          </w:p>
        </w:tc>
      </w:tr>
    </w:tbl>
    <w:p>
      <w:pPr>
        <w:spacing w:after="120" w:before="120"/>
        <w:jc w:val="both"/>
      </w:pPr>
      <w:r>
        <w:rPr>
          <w:b w:val="false"/>
          <w:bCs w:val="false"/>
          <w:i/>
          <w:iCs/>
          <w:sz w:val="20"/>
          <w:szCs w:val="20"/>
        </w:rPr>
        <w:t xml:space="preserve">Observação: Cleiton e Cristiano Antunes Garda figuram como avalistas na CCB, nos termos da fundamentação jurídica da petição inicial, sendo responsáveis solidários pela integralidade do débito.</w:t>
      </w:r>
    </w:p>
    <w:p>
      <w:pPr>
        <w:pStyle w:val="Heading2"/>
        <w:pBdr>
          <w:bottom w:val="single" w:color="1F3864" w:sz="6" w:space="4"/>
        </w:pBdr>
        <w:spacing w:after="160" w:before="300"/>
      </w:pPr>
      <w:r>
        <w:rPr>
          <w:b/>
          <w:bCs/>
          <w:color w:val="1F3864"/>
          <w:sz w:val="26"/>
          <w:szCs w:val="26"/>
        </w:rPr>
        <w:t xml:space="preserve">3. Garantias – Imóveis e Veículos</w:t>
      </w:r>
    </w:p>
    <w:p>
      <w:pPr>
        <w:spacing w:after="80" w:before="0"/>
        <w:jc w:val="both"/>
      </w:pPr>
      <w:r>
        <w:rPr>
          <w:b/>
          <w:bCs/>
          <w:i w:val="false"/>
          <w:iCs w:val="false"/>
          <w:sz w:val="22"/>
          <w:szCs w:val="22"/>
        </w:rPr>
        <w:t xml:space="preserve">Garantias imobiliárias (hipoteca/alienação fiduciária de imóvel):</w:t>
      </w:r>
    </w:p>
    <w:p>
      <w:pPr>
        <w:spacing w:after="200" w:before="0"/>
        <w:jc w:val="both"/>
      </w:pPr>
      <w:r>
        <w:rPr>
          <w:b w:val="false"/>
          <w:bCs w:val="false"/>
          <w:i w:val="false"/>
          <w:iCs w:val="false"/>
          <w:sz w:val="22"/>
          <w:szCs w:val="22"/>
        </w:rPr>
        <w:t xml:space="preserve">NÃO HÁ registro de garantia real de imóveis no título executivo extrajudicial (Cédula de Crédito Bancário) juntado aos autos. A execução não é lastreada em hipoteca nem em alienação fiduciária de bem imóvel.</w:t>
      </w:r>
    </w:p>
    <w:p>
      <w:pPr>
        <w:spacing w:after="80" w:before="0"/>
        <w:jc w:val="both"/>
      </w:pPr>
      <w:r>
        <w:rPr>
          <w:b/>
          <w:bCs/>
          <w:i w:val="false"/>
          <w:iCs w:val="false"/>
          <w:sz w:val="22"/>
          <w:szCs w:val="22"/>
        </w:rPr>
        <w:t xml:space="preserve">Garantias veiculares / bens indicados à penhora na Inicial:</w:t>
      </w:r>
    </w:p>
    <w:p>
      <w:pPr>
        <w:spacing w:after="120" w:before="0"/>
        <w:jc w:val="both"/>
      </w:pPr>
      <w:r>
        <w:rPr>
          <w:b w:val="false"/>
          <w:bCs w:val="false"/>
          <w:i w:val="false"/>
          <w:iCs w:val="false"/>
          <w:sz w:val="22"/>
          <w:szCs w:val="22"/>
        </w:rPr>
        <w:t xml:space="preserve">Os veículos abaixo foram indicados pela exequente para constrição nos termos do art. 829, §2º, do CPC (não se trata de gravame originário do título, mas de indicação para penhora com base em pesquisa RENAVAM anexada aos autos):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1200"/>
        <w:gridCol w:w="1200"/>
        <w:gridCol w:w="13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Veículo</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Placa / RENAVAM</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Ano/Modelo</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Cor</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Proprietário</w:t>
            </w:r>
          </w:p>
        </w:tc>
        <w:tc>
          <w:tcPr>
            <w:tcW w:type="dxa" w:w="1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Observação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FIAT/UNO ELECTRONIC</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LXL3I79 / 00540378933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1993/1994</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Cinza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Aline A. G. Bregalda (Devedora)</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Indicado à penhora na Inicial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VW/GOL CLI 1.8</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IFH0D88 / 00659556740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1996/1996</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Vermelha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Aline A. G. Bregalda (Devedora)</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Indicado à penhora na Inicial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HONDA CBX 250 TWISTER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MFR0C32 / 00853400423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2005/2005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Prata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Aline A. G. Bregalda (Devedora)</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Indicado à penhora na Inicial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VW/GOL 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IBR6G36 / 00552744751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1986/1986</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Verde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Cleiton A. Garda (Avalista)</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Indicado à penhora na Inicial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FIAT/UNO MILLE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IBH0B07 / 00576074063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1992/1992</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Cinza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Cristiano A. Garda (Avalista)</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Indicado à penhora na Inicial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I/VW GOLF GLX</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LVH3034 / 00155913999</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1995/1995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Cinza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Cristiano A. Garda (Avalista)</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Indicado à penhora na Inicial</w:t>
            </w:r>
          </w:p>
        </w:tc>
      </w:tr>
    </w:tbl>
    <w:p>
      <w:pPr>
        <w:spacing w:after="120" w:before="140"/>
        <w:jc w:val="both"/>
      </w:pPr>
      <w:r>
        <w:rPr>
          <w:b w:val="false"/>
          <w:bCs w:val="false"/>
          <w:i/>
          <w:iCs/>
          <w:sz w:val="20"/>
          <w:szCs w:val="20"/>
        </w:rPr>
        <w:t xml:space="preserve">Importante: todos os veículos indicados são antigos (anos 1986 a 2005), o que pode impactar a liquidez e o valor de mercado na eventual expropriação. Recomenda-se, quando da efetivação da penhora, avaliação atualizada e análise de custo/benefício da constrição.</w:t>
      </w:r>
    </w:p>
    <w:p>
      <w:pPr>
        <w:pStyle w:val="Heading2"/>
        <w:pBdr>
          <w:bottom w:val="single" w:color="1F3864" w:sz="6" w:space="4"/>
        </w:pBdr>
        <w:spacing w:after="160" w:before="300"/>
      </w:pPr>
      <w:r>
        <w:rPr>
          <w:b/>
          <w:bCs/>
          <w:color w:val="1F3864"/>
          <w:sz w:val="26"/>
          <w:szCs w:val="26"/>
        </w:rPr>
        <w:t xml:space="preserve">4. Penhoras</w:t>
      </w:r>
    </w:p>
    <w:p>
      <w:pPr>
        <w:spacing w:after="120" w:before="0"/>
        <w:jc w:val="both"/>
      </w:pPr>
      <w:r>
        <w:rPr>
          <w:b/>
          <w:bCs/>
          <w:i w:val="false"/>
          <w:iCs w:val="false"/>
          <w:sz w:val="22"/>
          <w:szCs w:val="22"/>
        </w:rPr>
        <w:t xml:space="preserve">Status atual: NÃO HÁ PENHORA EFETIVADA até a presente data (23/04/2026).</w:t>
      </w:r>
    </w:p>
    <w:p>
      <w:pPr>
        <w:spacing w:after="120" w:before="0"/>
        <w:jc w:val="both"/>
      </w:pPr>
      <w:r>
        <w:rPr>
          <w:b w:val="false"/>
          <w:bCs w:val="false"/>
          <w:i w:val="false"/>
          <w:iCs w:val="false"/>
          <w:sz w:val="22"/>
          <w:szCs w:val="22"/>
        </w:rPr>
        <w:t xml:space="preserve">A Decisão do Evento 11 (12/03/2026) autorizou o Oficial de Justiça a, após o decurso do prazo de 3 dias sem pagamento (art. 829 do CPC), efetuar a penhora e avaliação de bens suficientes para a satisfação da obrigação. Caso o executado não seja encontrado, foi autorizado o ARRESTO (art. 830 do CPC).</w:t>
      </w:r>
    </w:p>
    <w:p>
      <w:pPr>
        <w:spacing w:after="80" w:before="0"/>
        <w:jc w:val="both"/>
      </w:pPr>
      <w:r>
        <w:rPr>
          <w:b w:val="false"/>
          <w:bCs w:val="false"/>
          <w:i w:val="false"/>
          <w:iCs w:val="false"/>
          <w:sz w:val="22"/>
          <w:szCs w:val="22"/>
        </w:rPr>
        <w:t xml:space="preserve">A constrição sobre bem imóvel, se vier a ocorrer, exigirá a intimação do cônjuge (art. 842 do CPC). Os veículos listados no item 3 continuam indicados para penhora prioritária, assim que efetivada a citação dos executados.</w:t>
      </w:r>
    </w:p>
    <w:p>
      <w:pPr>
        <w:spacing w:after="80" w:before="0"/>
        <w:jc w:val="both"/>
      </w:pPr>
      <w:r>
        <w:rPr>
          <w:b w:val="false"/>
          <w:bCs w:val="false"/>
          <w:i w:val="false"/>
          <w:iCs w:val="false"/>
          <w:sz w:val="22"/>
          <w:szCs w:val="22"/>
        </w:rPr>
        <w:t xml:space="preserve">O requerimento na inicial incluiu, ainda, pedido de indisponibilidade de todos os bens em nome dos executados via CNIB (Central Nacional de Indisponibilidade de Bens) — até o momento sem deliberação judicial específica.</w:t>
      </w:r>
    </w:p>
    <w:p>
      <w:pPr>
        <w:pStyle w:val="Heading2"/>
        <w:pBdr>
          <w:bottom w:val="single" w:color="1F3864" w:sz="6" w:space="4"/>
        </w:pBdr>
        <w:spacing w:after="160" w:before="300"/>
      </w:pPr>
      <w:r>
        <w:rPr>
          <w:b/>
          <w:bCs/>
          <w:color w:val="1F3864"/>
          <w:sz w:val="26"/>
          <w:szCs w:val="26"/>
        </w:rPr>
        <w:t xml:space="preserve">5. Bloqueios Sisbajud</w:t>
      </w:r>
    </w:p>
    <w:p>
      <w:pPr>
        <w:spacing w:after="120" w:before="0"/>
        <w:jc w:val="both"/>
      </w:pPr>
      <w:r>
        <w:rPr>
          <w:b/>
          <w:bCs/>
          <w:i w:val="false"/>
          <w:iCs w:val="false"/>
          <w:sz w:val="22"/>
          <w:szCs w:val="22"/>
        </w:rPr>
        <w:t xml:space="preserve">Status atual: NÃO HOUVE BLOQUEIO VIA SISBAJUD até a presente data.</w:t>
      </w:r>
    </w:p>
    <w:p>
      <w:pPr>
        <w:spacing w:after="120" w:before="0"/>
        <w:jc w:val="both"/>
      </w:pPr>
      <w:r>
        <w:rPr>
          <w:b w:val="false"/>
          <w:bCs w:val="false"/>
          <w:i w:val="false"/>
          <w:iCs w:val="false"/>
          <w:sz w:val="22"/>
          <w:szCs w:val="22"/>
        </w:rPr>
        <w:t xml:space="preserve">A exequente, no item 8 dos pedidos da inicial, requereu expressamente a penhora de ativos e aplicações financeiras por meios eletrônicos (Sisbajud), de forma subsidiária — apenas caso os executados não apresentem relação de bens ou caso os bens sejam de difícil comercialização.</w:t>
      </w:r>
    </w:p>
    <w:p>
      <w:pPr>
        <w:spacing w:after="120" w:before="0"/>
        <w:jc w:val="both"/>
      </w:pPr>
      <w:r>
        <w:rPr>
          <w:b w:val="false"/>
          <w:bCs w:val="false"/>
          <w:i w:val="false"/>
          <w:iCs w:val="false"/>
          <w:sz w:val="22"/>
          <w:szCs w:val="22"/>
        </w:rPr>
        <w:t xml:space="preserve">A decisão judicial de citação (Ev. 11) ainda não deferiu o Sisbajud, pois a fase processual atual é de CITAÇÃO DOS EXECUTADOS. Somente após o exaurimento do prazo sem pagamento e sem apresentação de bens é que o pedido de Sisbajud deverá ser reiterado e deferido.</w:t>
      </w:r>
    </w:p>
    <w:p>
      <w:pPr>
        <w:pStyle w:val="Heading2"/>
        <w:pBdr>
          <w:bottom w:val="single" w:color="1F3864" w:sz="6" w:space="4"/>
        </w:pBdr>
        <w:spacing w:after="160" w:before="300"/>
      </w:pPr>
      <w:r>
        <w:rPr>
          <w:b/>
          <w:bCs/>
          <w:color w:val="1F3864"/>
          <w:sz w:val="26"/>
          <w:szCs w:val="26"/>
        </w:rPr>
        <w:t xml:space="preserve">6. Status do Andamento Processual Atual</w:t>
      </w:r>
    </w:p>
    <w:p>
      <w:pPr>
        <w:spacing w:after="120" w:before="0"/>
        <w:jc w:val="both"/>
      </w:pPr>
      <w:r>
        <w:rPr>
          <w:b/>
          <w:bCs/>
          <w:i w:val="false"/>
          <w:iCs w:val="false"/>
          <w:sz w:val="22"/>
          <w:szCs w:val="22"/>
        </w:rPr>
        <w:t xml:space="preserve">Fase: INICIAL – AGUARDANDO EXPEDIÇÃO DE MANDADO DE CITAÇÃO EM ENDEREÇO ATUALIZADO.</w:t>
      </w:r>
    </w:p>
    <w:p>
      <w:pPr>
        <w:spacing w:after="120" w:before="0"/>
        <w:jc w:val="both"/>
      </w:pPr>
      <w:r>
        <w:rPr>
          <w:b w:val="false"/>
          <w:bCs w:val="false"/>
          <w:i w:val="false"/>
          <w:iCs w:val="false"/>
          <w:sz w:val="22"/>
          <w:szCs w:val="22"/>
        </w:rPr>
        <w:t xml:space="preserve">Linha do tempo dos atos processuais relevantes: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Data</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Evento / Ato</w:t>
            </w:r>
          </w:p>
        </w:tc>
        <w:tc>
          <w:tcPr>
            <w:tcW w:type="dxa" w:w="5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b/>
                <w:bCs/>
                <w:color w:val="FFFFFF"/>
                <w:sz w:val="20"/>
                <w:szCs w:val="20"/>
              </w:rPr>
              <w:t xml:space="preserve">Descrição</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13/02/2026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Distribuição (Ev. 1)</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Protocolo da petição inicial de Execução de Título Extrajudicial com indicação de bens à penhora e requerimento de bloqueio via Sisbajud subsidiariamente.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19/02/2026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Despacho (Ev. 4)</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Juíza Ana Lucia Todeschini Martinez determinou a intimação da parte autora para pagamento das custas iniciais (prazo de 15 dias), sob pena de cancelamento da distribuição.</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12/03/2026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Decisão de Citação (Ev. 11)</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Após recolhimento de custas, o Juízo deferiu a citação dos executados para pagamento em 3 dias, fixando honorários em 10% (reduzidos à metade em caso de pagamento integral). Autorizada a penhora e avaliação pelo Oficial de Justiça caso não haja pagamento, bem como arresto se os executados não forem localizados.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26/03/2026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Ato Ordinatório (Ev. 16)</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Cartório da 1ª Vara intimou a exequente para esclarecer o endereço da executada Aline (Rua B, Promorar, 108), pois não foi possível cadastrá-lo no sistema Eproc, e para recolher 2 despesas de condução RURAL por mandado a ser expedido (Oficial de Justiça – Nova Prata).</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22/04/2026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Petição da Exequente (Ev. 20)</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 advogada Dra. Gabrieli Fontana informou ao Juízo o endereço atualizado da executada Aline (R. Prof. Cerilo Borrim, nº 108, Guabiju/RS – CEP 95355-000) e requereu o regular prosseguimento do feito, com expedição de mandado de citação no novo endereço.</w:t>
            </w:r>
          </w:p>
        </w:tc>
      </w:tr>
    </w:tbl>
    <w:p>
      <w:pPr>
        <w:spacing w:after="80" w:before="200"/>
        <w:jc w:val="both"/>
      </w:pPr>
      <w:r>
        <w:rPr>
          <w:b/>
          <w:bCs/>
          <w:i w:val="false"/>
          <w:iCs w:val="false"/>
          <w:sz w:val="22"/>
          <w:szCs w:val="22"/>
        </w:rPr>
        <w:t xml:space="preserve">Próximos passos esperados:</w:t>
      </w:r>
    </w:p>
    <w:p>
      <w:pPr>
        <w:pStyle w:val="ListParagraph"/>
        <w:numPr>
          <w:ilvl w:val="0"/>
          <w:numId w:val="2"/>
        </w:numPr>
        <w:spacing w:after="80"/>
      </w:pPr>
      <w:r>
        <w:rPr>
          <w:sz w:val="22"/>
          <w:szCs w:val="22"/>
        </w:rPr>
        <w:t xml:space="preserve">Decisão judicial acolhendo o endereço atualizado informado em 22/04/2026 e determinando a expedição do mandado de citação da executada Aline no novo endereço.</w:t>
      </w:r>
    </w:p>
    <w:p>
      <w:pPr>
        <w:pStyle w:val="ListParagraph"/>
        <w:numPr>
          <w:ilvl w:val="0"/>
          <w:numId w:val="2"/>
        </w:numPr>
        <w:spacing w:after="80"/>
      </w:pPr>
      <w:r>
        <w:rPr>
          <w:sz w:val="22"/>
          <w:szCs w:val="22"/>
        </w:rPr>
        <w:t xml:space="preserve">Recolhimento das despesas de condução rural do Oficial de Justiça (2 despesas por mandado).</w:t>
      </w:r>
    </w:p>
    <w:p>
      <w:pPr>
        <w:pStyle w:val="ListParagraph"/>
        <w:numPr>
          <w:ilvl w:val="0"/>
          <w:numId w:val="2"/>
        </w:numPr>
        <w:spacing w:after="80"/>
      </w:pPr>
      <w:r>
        <w:rPr>
          <w:sz w:val="22"/>
          <w:szCs w:val="22"/>
        </w:rPr>
        <w:t xml:space="preserve">Cumprimento dos mandados de citação dos 3 executados.</w:t>
      </w:r>
    </w:p>
    <w:p>
      <w:pPr>
        <w:pStyle w:val="ListParagraph"/>
        <w:numPr>
          <w:ilvl w:val="0"/>
          <w:numId w:val="2"/>
        </w:numPr>
        <w:spacing w:after="80"/>
      </w:pPr>
      <w:r>
        <w:rPr>
          <w:sz w:val="22"/>
          <w:szCs w:val="22"/>
        </w:rPr>
        <w:t xml:space="preserve">Decurso do prazo de 3 dias para pagamento (art. 829 do CPC).</w:t>
      </w:r>
    </w:p>
    <w:p>
      <w:pPr>
        <w:pStyle w:val="ListParagraph"/>
        <w:numPr>
          <w:ilvl w:val="0"/>
          <w:numId w:val="2"/>
        </w:numPr>
        <w:spacing w:after="80"/>
      </w:pPr>
      <w:r>
        <w:rPr>
          <w:sz w:val="22"/>
          <w:szCs w:val="22"/>
        </w:rPr>
        <w:t xml:space="preserve">Não havendo pagamento: efetivação de penhora/arresto dos veículos indicados pelo Oficial de Justiça, e/ou requerimento subsidiário de Sisbajud e CNIB.</w:t>
      </w:r>
    </w:p>
    <w:p>
      <w:pPr>
        <w:pStyle w:val="ListParagraph"/>
        <w:numPr>
          <w:ilvl w:val="0"/>
          <w:numId w:val="2"/>
        </w:numPr>
        <w:spacing w:after="80"/>
      </w:pPr>
      <w:r>
        <w:rPr>
          <w:sz w:val="22"/>
          <w:szCs w:val="22"/>
        </w:rPr>
        <w:t xml:space="preserve">Acompanhar eventuais Embargos à Execução (prazo de 15 dias após juntada do mandado cumprido – sem efeito suspensivo automático, nos termos do art. 919 do CPC).</w:t>
      </w:r>
    </w:p>
    <w:p>
      <w:pPr>
        <w:pStyle w:val="Heading2"/>
        <w:pBdr>
          <w:bottom w:val="single" w:color="1F3864" w:sz="6" w:space="4"/>
        </w:pBdr>
        <w:spacing w:after="160" w:before="300"/>
      </w:pPr>
      <w:r>
        <w:rPr>
          <w:b/>
          <w:bCs/>
          <w:color w:val="1F3864"/>
          <w:sz w:val="26"/>
          <w:szCs w:val="26"/>
        </w:rPr>
        <w:t xml:space="preserve">7. Ressalvas e Riscos</w:t>
      </w:r>
    </w:p>
    <w:p>
      <w:pPr>
        <w:pStyle w:val="ListParagraph"/>
        <w:numPr>
          <w:ilvl w:val="0"/>
          <w:numId w:val="2"/>
        </w:numPr>
        <w:spacing w:after="80"/>
      </w:pPr>
      <w:r>
        <w:rPr>
          <w:sz w:val="22"/>
          <w:szCs w:val="22"/>
        </w:rPr>
        <w:t xml:space="preserve">A exequente registrou em inicial que já houve um acordo extrajudicial prévio descumprido pelo executado – fato que reforça o pleito de dispensa de audiência conciliatória.</w:t>
      </w:r>
    </w:p>
    <w:p>
      <w:pPr>
        <w:pStyle w:val="ListParagraph"/>
        <w:numPr>
          <w:ilvl w:val="0"/>
          <w:numId w:val="2"/>
        </w:numPr>
        <w:spacing w:after="80"/>
      </w:pPr>
      <w:r>
        <w:rPr>
          <w:sz w:val="22"/>
          <w:szCs w:val="22"/>
        </w:rPr>
        <w:t xml:space="preserve">Os veículos são de baixo valor de mercado e idade avançada; a recuperação exclusiva por meio da penhora veicular poderá ser insuficiente para liquidar o débito de R$ 258 mil.</w:t>
      </w:r>
    </w:p>
    <w:p>
      <w:pPr>
        <w:pStyle w:val="ListParagraph"/>
        <w:numPr>
          <w:ilvl w:val="0"/>
          <w:numId w:val="2"/>
        </w:numPr>
        <w:spacing w:after="80"/>
      </w:pPr>
      <w:r>
        <w:rPr>
          <w:sz w:val="22"/>
          <w:szCs w:val="22"/>
        </w:rPr>
        <w:t xml:space="preserve">A estratégia recomendada é: (i) efetivar a citação no novo endereço; (ii) paralelamente, reiterar pedido de Sisbajud e CNIB assim que cabível; (iii) manter canal aberto para composição amigável, conforme já sinalizado na inicial.</w:t>
      </w:r>
    </w:p>
    <w:p>
      <w:pPr>
        <w:spacing w:after="240" w:before="0"/>
        <w:jc w:val="both"/>
      </w:pPr>
      <w:r>
        <w:rPr>
          <w:b w:val="false"/>
          <w:bCs w:val="false"/>
          <w:i w:val="false"/>
          <w:iCs w:val="false"/>
          <w:sz w:val="22"/>
          <w:szCs w:val="22"/>
        </w:rPr>
        <w:t xml:space="preserve"> </w:t>
      </w:r>
    </w:p>
    <w:p>
      <w:pPr>
        <w:spacing w:after="120" w:before="0"/>
        <w:jc w:val="center"/>
      </w:pPr>
      <w:r>
        <w:rPr>
          <w:b w:val="false"/>
          <w:bCs w:val="false"/>
          <w:i/>
          <w:iCs/>
          <w:color w:val="7F7F7F"/>
          <w:sz w:val="18"/>
          <w:szCs w:val="18"/>
        </w:rPr>
        <w:t xml:space="preserve">Converty Recuperadora de Ativos – Relatório emitido em 23/04/2026.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300"/>
      <w:outlineLvl w:val="1"/>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Processual – Processo nº 5000729-91.2026.8.21.0058</dc:title>
  <dc:creator>Converty Recuperadora de Ativos</dc:creator>
  <cp:lastModifiedBy>Un-named</cp:lastModifiedBy>
  <cp:revision>1</cp:revision>
  <dcterms:created xsi:type="dcterms:W3CDTF">2026-04-23T13:40:26.530Z</dcterms:created>
  <dcterms:modified xsi:type="dcterms:W3CDTF">2026-04-23T13:40:26.531Z</dcterms:modified>
</cp:coreProperties>
</file>

<file path=docProps/custom.xml><?xml version="1.0" encoding="utf-8"?>
<Properties xmlns="http://schemas.openxmlformats.org/officeDocument/2006/custom-properties" xmlns:vt="http://schemas.openxmlformats.org/officeDocument/2006/docPropsVTypes"/>
</file>