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sz w:val="36"/>
        </w:rPr>
        <w:t>Vision VMC × L1 Risk‑First Valuation Platform — Combined Build Spec (Private Lending, Capital Markets &amp; Servicing)</w:t>
      </w:r>
    </w:p>
    <w:p>
      <w:pPr>
        <w:spacing w:after="80"/>
      </w:pPr>
      <w:r>
        <w:rPr>
          <w:b/>
          <w:sz w:val="26"/>
        </w:rPr>
        <w:t>Executive Summary</w:t>
      </w:r>
    </w:p>
    <w:p>
      <w:pPr>
        <w:spacing w:after="160"/>
      </w:pPr>
      <w:r>
        <w:rPr>
          <w:b w:val="0"/>
          <w:sz w:val="22"/>
        </w:rPr>
        <w:t>Vision VMC, LLC and L1 (Loananalytics.com) will co‑build a risk‑first valuation and QC platform that orchestrates a waterfall of valuation products (AVM → Interactive AVM → BPO → Evaluation → DVR/Desktop → Field/Full Appraisal → Recon/1033) across single loans and full tapes/portfolios. The system blends best‑in‑class data, human‑in‑the‑loop appraisal expertise, and ML/AI to deliver accurate, auditable values, fraud and market‑risk detection, and a self‑improving workflow.</w:t>
      </w:r>
    </w:p>
    <w:p>
      <w:pPr>
        <w:spacing w:after="80"/>
      </w:pPr>
      <w:r>
        <w:rPr>
          <w:b/>
          <w:sz w:val="26"/>
        </w:rPr>
        <w:t>Product Goals &amp; Outcomes</w:t>
      </w:r>
    </w:p>
    <w:p>
      <w:pPr>
        <w:pStyle w:val="ListBullet"/>
      </w:pPr>
      <w:r>
        <w:rPr>
          <w:sz w:val="22"/>
        </w:rPr>
        <w:t>Accuracy &amp; Coverage: Deliver value, range (P10/P50/P90), and confidence with calibrated coverage.</w:t>
      </w:r>
    </w:p>
    <w:p>
      <w:pPr>
        <w:pStyle w:val="ListBullet"/>
      </w:pPr>
      <w:r>
        <w:rPr>
          <w:sz w:val="22"/>
        </w:rPr>
        <w:t>Risk Detection: Identify fraud, non‑arm’s‑length transfers, flip inflation, illegal STR use, and declining markets.</w:t>
      </w:r>
    </w:p>
    <w:p>
      <w:pPr>
        <w:pStyle w:val="ListBullet"/>
      </w:pPr>
      <w:r>
        <w:rPr>
          <w:sz w:val="22"/>
        </w:rPr>
        <w:t>Operational Efficiency: Auto‑route orders to the next‑best product; surface only true exceptions.</w:t>
      </w:r>
    </w:p>
    <w:p>
      <w:pPr>
        <w:pStyle w:val="ListBullet"/>
      </w:pPr>
      <w:r>
        <w:rPr>
          <w:sz w:val="22"/>
        </w:rPr>
        <w:t>Auditability: End‑to‑end data provenance and action logs; reproducible outcomes for investor/regulator review.</w:t>
      </w:r>
    </w:p>
    <w:p>
      <w:pPr>
        <w:pStyle w:val="ListBullet"/>
      </w:pPr>
      <w:r>
        <w:rPr>
          <w:sz w:val="22"/>
        </w:rPr>
        <w:t>Portfolio Insight: Tape‑level heatmaps, trendlines, and variance analytics for capital‑markets clients.</w:t>
      </w:r>
    </w:p>
    <w:p>
      <w:pPr>
        <w:spacing w:after="80"/>
      </w:pPr>
      <w:r>
        <w:rPr>
          <w:b/>
          <w:sz w:val="26"/>
        </w:rPr>
        <w:t>1) Data Plumbing &amp; Identity Resolution</w:t>
      </w:r>
    </w:p>
    <w:p>
      <w:pPr>
        <w:pStyle w:val="ListBullet"/>
      </w:pPr>
      <w:r>
        <w:rPr>
          <w:sz w:val="22"/>
        </w:rPr>
        <w:t>Connectors: MLS (licensed), public record/deeds/assessor, parcel/plat, permits, courts/liens, HOA, FEMA flood, wildfire/climate, imagery, listing portals, rental/STR feeds, utility proxies, school/crime indices, vendor systems (BPO, appraisals, DVRs), borrower docs (secured), macro indices.</w:t>
      </w:r>
    </w:p>
    <w:p>
      <w:pPr>
        <w:pStyle w:val="ListBullet"/>
      </w:pPr>
      <w:r>
        <w:rPr>
          <w:sz w:val="22"/>
        </w:rPr>
        <w:t>Normalization: Address std + APN↔parcel, rooftop geocode, unit parsing, bed/bath/GLA harmonization, UTC timestamps, doc type normalization.</w:t>
      </w:r>
    </w:p>
    <w:p>
      <w:pPr>
        <w:pStyle w:val="ListBullet"/>
      </w:pPr>
      <w:r>
        <w:rPr>
          <w:sz w:val="22"/>
        </w:rPr>
        <w:t>Dedup/Merge: Record linkage; de‑relists; near‑duplicate listing detection.</w:t>
      </w:r>
    </w:p>
    <w:p>
      <w:pPr>
        <w:pStyle w:val="ListBullet"/>
      </w:pPr>
      <w:r>
        <w:rPr>
          <w:sz w:val="22"/>
        </w:rPr>
        <w:t>Entity Resolution: Owner/LLC graph; officers; brokers; appraisers; AMCs; GC/builders; recurring relationship loops.</w:t>
      </w:r>
    </w:p>
    <w:p>
      <w:pPr>
        <w:pStyle w:val="ListBullet"/>
      </w:pPr>
      <w:r>
        <w:rPr>
          <w:sz w:val="22"/>
        </w:rPr>
        <w:t>Data Provenance Tagging: source_id, source_type, ts_ingested, license_id, transform_history, human_action_log, confidence_flags.</w:t>
      </w:r>
    </w:p>
    <w:p>
      <w:pPr>
        <w:spacing w:after="80"/>
      </w:pPr>
      <w:r>
        <w:rPr>
          <w:b/>
          <w:sz w:val="26"/>
        </w:rPr>
        <w:t>2) Feature Layers (AI Inputs)</w:t>
      </w:r>
    </w:p>
    <w:p>
      <w:pPr>
        <w:pStyle w:val="ListBullet"/>
      </w:pPr>
      <w:r>
        <w:rPr>
          <w:sz w:val="22"/>
        </w:rPr>
        <w:t>Property: GLA, lot size/slope/aspect, year built/effective age, condition, bed/bath utility, parking, pool/view, ADU/JADU flags, HOA/condo.</w:t>
      </w:r>
    </w:p>
    <w:p>
      <w:pPr>
        <w:pStyle w:val="ListBullet"/>
      </w:pPr>
      <w:r>
        <w:rPr>
          <w:sz w:val="22"/>
        </w:rPr>
        <w:t>Market Regime: HPI/index, DOM, absorption, MOI, list‑to‑sale, price‑cut rate, contract ratio; regime breaks.</w:t>
      </w:r>
    </w:p>
    <w:p>
      <w:pPr>
        <w:pStyle w:val="ListBullet"/>
      </w:pPr>
      <w:r>
        <w:rPr>
          <w:sz w:val="22"/>
        </w:rPr>
        <w:t>Geospatial/Hazards: Flood, wildfire, coastline/transport, nuisances; elevation/view axes.</w:t>
      </w:r>
    </w:p>
    <w:p>
      <w:pPr>
        <w:pStyle w:val="ListBullet"/>
      </w:pPr>
      <w:r>
        <w:rPr>
          <w:sz w:val="22"/>
        </w:rPr>
        <w:t>STR/Regulation: STR legality, permits, TOT, occupancy caps, enforcement, seasonal ADR/Occ/RevPAR.</w:t>
      </w:r>
    </w:p>
    <w:p>
      <w:pPr>
        <w:pStyle w:val="ListBullet"/>
      </w:pPr>
      <w:r>
        <w:rPr>
          <w:sz w:val="22"/>
        </w:rPr>
        <w:t>Ownership Chain: Deed chronology, deed types, related‑party signals, rapid resales.</w:t>
      </w:r>
    </w:p>
    <w:p>
      <w:pPr>
        <w:pStyle w:val="ListBullet"/>
      </w:pPr>
      <w:r>
        <w:rPr>
          <w:sz w:val="22"/>
        </w:rPr>
        <w:t>Price Dynamics: Repeat‑sale deltas, $/sf dispersion vs cohort, bid‑ask vs actives, contract↔appraisal variances.</w:t>
      </w:r>
    </w:p>
    <w:p>
      <w:pPr>
        <w:pStyle w:val="ListBullet"/>
      </w:pPr>
      <w:r>
        <w:rPr>
          <w:sz w:val="22"/>
        </w:rPr>
        <w:t>NLP (Listings/Reports): Upgrade claims, view descriptors, occupancy cues, boilerplate detection; sentiment.</w:t>
      </w:r>
    </w:p>
    <w:p>
      <w:pPr>
        <w:pStyle w:val="ListBullet"/>
      </w:pPr>
      <w:r>
        <w:rPr>
          <w:sz w:val="22"/>
        </w:rPr>
        <w:t>Computer Vision: Photo/EXIF checks; duplicate hashes; finish/view detectors.</w:t>
      </w:r>
    </w:p>
    <w:p>
      <w:pPr>
        <w:pStyle w:val="ListBullet"/>
      </w:pPr>
      <w:r>
        <w:rPr>
          <w:sz w:val="22"/>
        </w:rPr>
        <w:t>Vendor/Participant KPIs: Appraiser/broker scorecards; turn time, revision/defect rates, variance vs truth.</w:t>
      </w:r>
    </w:p>
    <w:p>
      <w:pPr>
        <w:pStyle w:val="ListBullet"/>
      </w:pPr>
      <w:r>
        <w:rPr>
          <w:sz w:val="22"/>
        </w:rPr>
        <w:t>Loan Metrics: LTV/CLTV/LTC, DSCR, debt‑yield; ARV linked to scope/permits; interest reserve logic.</w:t>
      </w:r>
    </w:p>
    <w:p>
      <w:pPr>
        <w:spacing w:after="80"/>
      </w:pPr>
      <w:r>
        <w:rPr>
          <w:b/>
          <w:sz w:val="26"/>
        </w:rPr>
        <w:t>3) Models by Task</w:t>
      </w:r>
    </w:p>
    <w:p>
      <w:pPr>
        <w:pStyle w:val="ListBullet"/>
      </w:pPr>
      <w:r>
        <w:rPr>
          <w:sz w:val="22"/>
        </w:rPr>
        <w:t>Valuation Core: Stacked GBM + hedonic OLS fallback; quantile regression; comp‑selection ranking.</w:t>
      </w:r>
    </w:p>
    <w:p>
      <w:pPr>
        <w:pStyle w:val="ListBullet"/>
      </w:pPr>
      <w:r>
        <w:rPr>
          <w:sz w:val="22"/>
        </w:rPr>
        <w:t>Uncertainty &amp; Sufficiency: Density, leverage, residual dispersion → Confidence (0–100) &amp; Data‑Sufficiency.</w:t>
      </w:r>
    </w:p>
    <w:p>
      <w:pPr>
        <w:pStyle w:val="ListBullet"/>
      </w:pPr>
      <w:r>
        <w:rPr>
          <w:sz w:val="22"/>
        </w:rPr>
        <w:t>Anomaly &amp; Fraud: Isolation Forest/LOF; supervised classifiers; graph anomalies; doc forensics.</w:t>
      </w:r>
    </w:p>
    <w:p>
      <w:pPr>
        <w:pStyle w:val="ListBullet"/>
      </w:pPr>
      <w:r>
        <w:rPr>
          <w:sz w:val="22"/>
        </w:rPr>
        <w:t>STR Revenue: Seasonality + ADR/Occ features; compliance gate downgrade if illegal.</w:t>
      </w:r>
    </w:p>
    <w:p>
      <w:pPr>
        <w:pStyle w:val="ListBullet"/>
      </w:pPr>
      <w:r>
        <w:rPr>
          <w:sz w:val="22"/>
        </w:rPr>
        <w:t>Market‑Decline Detector: Composite of short/long slope, MOI, price cuts, contract ratio.</w:t>
      </w:r>
    </w:p>
    <w:p>
      <w:pPr>
        <w:spacing w:after="80"/>
      </w:pPr>
      <w:r>
        <w:rPr>
          <w:b/>
          <w:sz w:val="26"/>
        </w:rPr>
        <w:t>4) Rule Engine &amp; Waterfall (Configurable)</w:t>
      </w:r>
    </w:p>
    <w:p>
      <w:r>
        <w:rPr>
          <w:rFonts w:ascii="Courier New" w:hAnsi="Courier New"/>
          <w:sz w:val="20"/>
        </w:rPr>
        <w:t>if AVM.conf &lt; 65 or AVM.dispersion &gt; T1 or abs(AVM.value - contract)/contract &gt; 0.10:</w:t>
        <w:br/>
        <w:t xml:space="preserve">    route = "Interactive AVM"</w:t>
        <w:br/>
        <w:t>if iAVM.conf &lt; 70 or abs(iAVM.value - prior_appraisal)/prior_appraisal &gt; 0.15 or data_suff == "Low":</w:t>
        <w:br/>
        <w:t xml:space="preserve">    route = "DVR"</w:t>
        <w:br/>
        <w:t>if DVR.flag_count &gt;= 2 or fraud_score &gt; F1:</w:t>
        <w:br/>
        <w:t xml:space="preserve">    route = "Desktop/Field Review or Full Appraisal" </w:t>
      </w:r>
    </w:p>
    <w:p>
      <w:pPr>
        <w:spacing w:after="80"/>
      </w:pPr>
      <w:r>
        <w:rPr>
          <w:b/>
          <w:sz w:val="26"/>
        </w:rPr>
        <w:t>5) Red‑Flag Library (Codeable Checks)</w:t>
      </w:r>
    </w:p>
    <w:p>
      <w:pPr>
        <w:pStyle w:val="ListBullet"/>
      </w:pPr>
      <w:r>
        <w:rPr>
          <w:sz w:val="22"/>
        </w:rPr>
        <w:t>Non‑Arm’s‑Length, Flip Inflation, Comp Gaming, GLA/Feature Conflicts, Image Reuse, STR Misrep, Market Stress, Builder/GC Risk.</w:t>
      </w:r>
    </w:p>
    <w:p>
      <w:pPr>
        <w:spacing w:after="80"/>
      </w:pPr>
      <w:r>
        <w:rPr>
          <w:b/>
          <w:sz w:val="26"/>
        </w:rPr>
        <w:t>6) Outputs (Machine + Human)</w:t>
      </w:r>
    </w:p>
    <w:p>
      <w:pPr>
        <w:pStyle w:val="ListBullet"/>
      </w:pPr>
      <w:r>
        <w:rPr>
          <w:sz w:val="22"/>
        </w:rPr>
        <w:t>Valuation: Point, P10/P50/P90, confidence, comp grid &amp; weights, time/view/site adjustments.</w:t>
      </w:r>
    </w:p>
    <w:p>
      <w:pPr>
        <w:pStyle w:val="ListBullet"/>
      </w:pPr>
      <w:r>
        <w:rPr>
          <w:sz w:val="22"/>
        </w:rPr>
        <w:t>Scores: Valuation Risk, Fraud Risk, Data Sufficiency, Market Regime.</w:t>
      </w:r>
    </w:p>
    <w:p>
      <w:pPr>
        <w:pStyle w:val="ListBullet"/>
      </w:pPr>
      <w:r>
        <w:rPr>
          <w:sz w:val="22"/>
        </w:rPr>
        <w:t>Reason Codes: standardized (e.g., NAL01, CMP05).</w:t>
      </w:r>
    </w:p>
    <w:p>
      <w:pPr>
        <w:pStyle w:val="ListBullet"/>
      </w:pPr>
      <w:r>
        <w:rPr>
          <w:sz w:val="22"/>
        </w:rPr>
        <w:t>Next‑Best Action: Proceed / iAVM / DVR / Desktop / Full / STR Compliance Review / Field.</w:t>
      </w:r>
    </w:p>
    <w:p>
      <w:pPr>
        <w:pStyle w:val="ListBullet"/>
      </w:pPr>
      <w:r>
        <w:rPr>
          <w:sz w:val="22"/>
        </w:rPr>
        <w:t>Audit Pack: Provenance log, transform steps, model version, SHAP attributions.</w:t>
      </w:r>
    </w:p>
    <w:p>
      <w:pPr>
        <w:pStyle w:val="ListBullet"/>
      </w:pPr>
      <w:r>
        <w:rPr>
          <w:sz w:val="22"/>
        </w:rPr>
        <w:t>Portfolio: Heatmaps, hotspots, segment roll‑ups, tail risk (P5 shock).</w:t>
      </w:r>
    </w:p>
    <w:p>
      <w:pPr>
        <w:spacing w:after="80"/>
      </w:pPr>
      <w:r>
        <w:rPr>
          <w:b/>
          <w:sz w:val="26"/>
        </w:rPr>
        <w:t>7) QC Automation (by Product)</w:t>
      </w:r>
    </w:p>
    <w:p>
      <w:pPr>
        <w:pStyle w:val="ListBullet"/>
      </w:pPr>
      <w:r>
        <w:rPr>
          <w:sz w:val="22"/>
        </w:rPr>
        <w:t>AVM/iAVM: comp sufficiency, leverage, range width, active/pending cross‑checks.</w:t>
      </w:r>
    </w:p>
    <w:p>
      <w:pPr>
        <w:pStyle w:val="ListBullet"/>
      </w:pPr>
      <w:r>
        <w:rPr>
          <w:sz w:val="22"/>
        </w:rPr>
        <w:t>BPOs: EXIF checks, broker overlap, condition calibration.</w:t>
      </w:r>
    </w:p>
    <w:p>
      <w:pPr>
        <w:pStyle w:val="ListBullet"/>
      </w:pPr>
      <w:r>
        <w:rPr>
          <w:sz w:val="22"/>
        </w:rPr>
        <w:t>DVR/Desktop/Full: NLP for unsupported adjustments, UAD consistency, photo contradictions.</w:t>
      </w:r>
    </w:p>
    <w:p>
      <w:pPr>
        <w:pStyle w:val="ListBullet"/>
      </w:pPr>
      <w:r>
        <w:rPr>
          <w:sz w:val="22"/>
        </w:rPr>
        <w:t>Evaluations/1033s: Policy fit, signature/date integrity, COI, geographic competency.</w:t>
      </w:r>
    </w:p>
    <w:p>
      <w:pPr>
        <w:pStyle w:val="ListBullet"/>
      </w:pPr>
      <w:r>
        <w:rPr>
          <w:sz w:val="22"/>
        </w:rPr>
        <w:t>RECON: Multi‑benchmark variance with thresholds &amp; prompts.</w:t>
      </w:r>
    </w:p>
    <w:p>
      <w:pPr>
        <w:spacing w:after="80"/>
      </w:pPr>
      <w:r>
        <w:rPr>
          <w:b/>
          <w:sz w:val="26"/>
        </w:rPr>
        <w:t>8) Private‑Lender &amp; Capital‑Markets Extras</w:t>
      </w:r>
    </w:p>
    <w:p>
      <w:pPr>
        <w:pStyle w:val="ListBullet"/>
      </w:pPr>
      <w:r>
        <w:rPr>
          <w:sz w:val="22"/>
        </w:rPr>
        <w:t>Fix‑and‑Flip: ARV tied to scope/permits; cost inflators; time‑to‑permit; resale saturation.</w:t>
      </w:r>
    </w:p>
    <w:p>
      <w:pPr>
        <w:pStyle w:val="ListBullet"/>
      </w:pPr>
      <w:r>
        <w:rPr>
          <w:sz w:val="22"/>
        </w:rPr>
        <w:t>DSCR/Rentals: Rent AVM; vacancy/expense norms; stressed DSCR; lease vs market deltas.</w:t>
      </w:r>
    </w:p>
    <w:p>
      <w:pPr>
        <w:pStyle w:val="ListBullet"/>
      </w:pPr>
      <w:r>
        <w:rPr>
          <w:sz w:val="22"/>
        </w:rPr>
        <w:t>STR: Ordinance scraper; license match; TOT; seasonal risk; complaint density.</w:t>
      </w:r>
    </w:p>
    <w:p>
      <w:pPr>
        <w:pStyle w:val="ListBullet"/>
      </w:pPr>
      <w:r>
        <w:rPr>
          <w:sz w:val="22"/>
        </w:rPr>
        <w:t>Capital Markets: Pool defect &amp; fraud heatmaps; segment scorecards; model cards.</w:t>
      </w:r>
    </w:p>
    <w:p>
      <w:pPr>
        <w:spacing w:after="80"/>
      </w:pPr>
      <w:r>
        <w:rPr>
          <w:b/>
          <w:sz w:val="26"/>
        </w:rPr>
        <w:t>9) Model Governance &amp; Compliance</w:t>
      </w:r>
    </w:p>
    <w:p>
      <w:pPr>
        <w:pStyle w:val="ListBullet"/>
      </w:pPr>
      <w:r>
        <w:rPr>
          <w:sz w:val="22"/>
        </w:rPr>
        <w:t>Champion/challenger; drift monitoring; out‑of‑time validation; PSI/KS; segment error distribution; proxy removal.</w:t>
      </w:r>
    </w:p>
    <w:p>
      <w:pPr>
        <w:pStyle w:val="ListBullet"/>
      </w:pPr>
      <w:r>
        <w:rPr>
          <w:sz w:val="22"/>
        </w:rPr>
        <w:t>Privacy/security: encryption, access logs, PII minimization; MRM docs (model cards, validation, change logs).</w:t>
      </w:r>
    </w:p>
    <w:p>
      <w:pPr>
        <w:spacing w:after="80"/>
      </w:pPr>
      <w:r>
        <w:rPr>
          <w:b/>
          <w:sz w:val="26"/>
        </w:rPr>
        <w:t>10) UI/Workflow Essentials</w:t>
      </w:r>
    </w:p>
    <w:p>
      <w:pPr>
        <w:pStyle w:val="ListBullet"/>
      </w:pPr>
      <w:r>
        <w:rPr>
          <w:sz w:val="22"/>
        </w:rPr>
        <w:t>Exception queue (sorted by Fraud/Valuation Risk) with explainers.</w:t>
      </w:r>
    </w:p>
    <w:p>
      <w:pPr>
        <w:pStyle w:val="ListBullet"/>
      </w:pPr>
      <w:r>
        <w:rPr>
          <w:sz w:val="22"/>
        </w:rPr>
        <w:t>One‑click escalations (iAVM → DVR → Desktop → Full).</w:t>
      </w:r>
    </w:p>
    <w:p>
      <w:pPr>
        <w:pStyle w:val="ListBullet"/>
      </w:pPr>
      <w:r>
        <w:rPr>
          <w:sz w:val="22"/>
        </w:rPr>
        <w:t>Client‑level threshold config; geo carve‑outs; SLA indicators; vendor scorecards.</w:t>
      </w:r>
    </w:p>
    <w:p>
      <w:pPr>
        <w:spacing w:after="80"/>
      </w:pPr>
      <w:r>
        <w:rPr>
          <w:b/>
          <w:sz w:val="26"/>
        </w:rPr>
        <w:t>Integrated Product‑to‑Product Comparison &amp; Continuous Improvement</w:t>
      </w:r>
    </w:p>
    <w:p>
      <w:pPr>
        <w:spacing w:after="40"/>
      </w:pPr>
      <w:r>
        <w:rPr>
          <w:b/>
          <w:sz w:val="22"/>
        </w:rPr>
        <w:t>A) Truth‑Set &amp; Benchmarking Backbone</w:t>
      </w:r>
    </w:p>
    <w:p>
      <w:pPr>
        <w:pStyle w:val="ListBullet"/>
      </w:pPr>
      <w:r>
        <w:rPr>
          <w:sz w:val="22"/>
        </w:rPr>
        <w:t>Truth‑set hierarchy (Tier 1→5) recorded as truth_tier with error bars.</w:t>
      </w:r>
    </w:p>
    <w:p>
      <w:pPr>
        <w:pStyle w:val="ListBullet"/>
      </w:pPr>
      <w:r>
        <w:rPr>
          <w:sz w:val="22"/>
        </w:rPr>
        <w:t>Backcast engine: time‑adjusted benchmark from local pairs/index + subject features when only later sale exists.</w:t>
      </w:r>
    </w:p>
    <w:p>
      <w:pPr>
        <w:spacing w:after="40"/>
      </w:pPr>
      <w:r>
        <w:rPr>
          <w:b/>
          <w:sz w:val="22"/>
        </w:rPr>
        <w:t>B) Unified Product Snapshot (Per Loan, Per Product)</w:t>
      </w:r>
    </w:p>
    <w:p>
      <w:pPr>
        <w:spacing w:after="160"/>
      </w:pPr>
      <w:r>
        <w:rPr>
          <w:b w:val="0"/>
          <w:sz w:val="21"/>
        </w:rPr>
        <w:t>loan_id, product_type, as_of_date, value_point, value_low, value_high, conf_0_100, turn_time_hours, cost, vendor_id, data_sufficiency_class, comp_set_id, comp_count, view_class, distance_median, days_back_median, reason_codes[], notes_nlp_summary, attachments[], qc_result, qc_flags[], source_ids[], model_version, analyst_actions_log</w:t>
      </w:r>
    </w:p>
    <w:p>
      <w:pPr>
        <w:spacing w:after="40"/>
      </w:pPr>
      <w:r>
        <w:rPr>
          <w:b/>
          <w:sz w:val="22"/>
        </w:rPr>
        <w:t>C) Variance &amp; Calibration Analytics</w:t>
      </w:r>
    </w:p>
    <w:p>
      <w:pPr>
        <w:pStyle w:val="ListBullet"/>
      </w:pPr>
      <w:r>
        <w:rPr>
          <w:sz w:val="22"/>
        </w:rPr>
        <w:t>Loan‑level variance matrix vs truth and vs peers; coverage test (truth within interval).</w:t>
      </w:r>
    </w:p>
    <w:p>
      <w:pPr>
        <w:pStyle w:val="ListBullet"/>
      </w:pPr>
      <w:r>
        <w:rPr>
          <w:sz w:val="22"/>
        </w:rPr>
        <w:t>Portfolio MAE/MAPE/RMSE; Coverage@80/90; confidence‑error correlation; turn‑time/revision/defect/ROV metrics.</w:t>
      </w:r>
    </w:p>
    <w:p>
      <w:pPr>
        <w:pStyle w:val="ListBullet"/>
      </w:pPr>
      <w:r>
        <w:rPr>
          <w:sz w:val="22"/>
        </w:rPr>
        <w:t>Residual attribution (SHAP) + segment cuts (rural, luxury view, STR‑restricted, condo litigation, new build).</w:t>
      </w:r>
    </w:p>
    <w:p>
      <w:pPr>
        <w:spacing w:after="40"/>
      </w:pPr>
      <w:r>
        <w:rPr>
          <w:b/>
          <w:sz w:val="22"/>
        </w:rPr>
        <w:t>D) DVR/QC Ingestion → Structured Insights</w:t>
      </w:r>
    </w:p>
    <w:p>
      <w:pPr>
        <w:pStyle w:val="ListBullet"/>
      </w:pPr>
      <w:r>
        <w:rPr>
          <w:sz w:val="22"/>
        </w:rPr>
        <w:t>NLP parser converts DVR narratives to reason_codes with severity and actions.</w:t>
      </w:r>
    </w:p>
    <w:p>
      <w:pPr>
        <w:pStyle w:val="ListBullet"/>
      </w:pPr>
      <w:r>
        <w:rPr>
          <w:sz w:val="22"/>
        </w:rPr>
        <w:t>Enforce UAD consistency; detect unsupported adjustments, view/lot mismatches, GLA/permit gaps.</w:t>
      </w:r>
    </w:p>
    <w:p>
      <w:pPr>
        <w:spacing w:after="40"/>
      </w:pPr>
      <w:r>
        <w:rPr>
          <w:b/>
          <w:sz w:val="22"/>
        </w:rPr>
        <w:t>E) Deficiency Taxonomy</w:t>
      </w:r>
    </w:p>
    <w:p>
      <w:pPr>
        <w:pStyle w:val="ListBullet"/>
      </w:pPr>
      <w:r>
        <w:rPr>
          <w:sz w:val="22"/>
        </w:rPr>
        <w:t>DATA, COMPS, METHOD, MARKET, FRAUD/RISK, OPERATIONS — standardized reason codes.</w:t>
      </w:r>
    </w:p>
    <w:p>
      <w:pPr>
        <w:spacing w:after="40"/>
      </w:pPr>
      <w:r>
        <w:rPr>
          <w:b/>
          <w:sz w:val="22"/>
        </w:rPr>
        <w:t>F) “Best Tool for This Loan?” Selector</w:t>
      </w:r>
    </w:p>
    <w:p>
      <w:pPr>
        <w:pStyle w:val="ListBullet"/>
      </w:pPr>
      <w:r>
        <w:rPr>
          <w:sz w:val="22"/>
        </w:rPr>
        <w:t>Predict expected error, coverage, turn‑time per product; output Next‑Best Action with expected gain.</w:t>
      </w:r>
    </w:p>
    <w:p>
      <w:pPr>
        <w:spacing w:after="40"/>
      </w:pPr>
      <w:r>
        <w:rPr>
          <w:b/>
          <w:sz w:val="22"/>
        </w:rPr>
        <w:t>G) Waterfall Auto‑Learning</w:t>
      </w:r>
    </w:p>
    <w:p>
      <w:pPr>
        <w:pStyle w:val="ListBullet"/>
      </w:pPr>
      <w:r>
        <w:rPr>
          <w:sz w:val="22"/>
        </w:rPr>
        <w:t>Segment scorecards update post‑truth; underperformers tighten gates or change routing; version changes.</w:t>
      </w:r>
    </w:p>
    <w:p>
      <w:pPr>
        <w:spacing w:after="40"/>
      </w:pPr>
      <w:r>
        <w:rPr>
          <w:b/>
          <w:sz w:val="22"/>
        </w:rPr>
        <w:t>H) Dashboards, I) Experiment Harness, J) Alerts &amp; Workflow</w:t>
      </w:r>
    </w:p>
    <w:p>
      <w:pPr>
        <w:pStyle w:val="ListBullet"/>
      </w:pPr>
      <w:r>
        <w:rPr>
          <w:sz w:val="22"/>
        </w:rPr>
        <w:t>Loan comparison panes; performance heatmaps; QC defect maps; fraud/decline overlays; selector gain charts.</w:t>
      </w:r>
    </w:p>
    <w:p>
      <w:pPr>
        <w:pStyle w:val="ListBullet"/>
      </w:pPr>
      <w:r>
        <w:rPr>
          <w:sz w:val="22"/>
        </w:rPr>
        <w:t>A/B tests by segment; publish uplift; high‑disagreement and confidence‑mismatch alerts; vendor coaching.</w:t>
      </w:r>
    </w:p>
    <w:p>
      <w:pPr>
        <w:spacing w:after="80"/>
      </w:pPr>
      <w:r>
        <w:rPr>
          <w:b/>
          <w:sz w:val="26"/>
        </w:rPr>
        <w:t>K) Minimal Schemas (Dev‑Ready)</w:t>
      </w:r>
    </w:p>
    <w:p>
      <w:r>
        <w:rPr>
          <w:rFonts w:ascii="Courier New" w:hAnsi="Courier New"/>
          <w:sz w:val="20"/>
        </w:rPr>
        <w:t>valuation_product_result(loan_id, product_id, product_type, value_point, value_low, value_high, conf_0_100,</w:t>
        <w:br/>
        <w:t xml:space="preserve"> turn_time_hours, cost, data_suff_class, reason_codes[], qc_result, qc_flags[], model_version, analyst_actions_log_ref)</w:t>
        <w:br/>
        <w:t>loan_truth(loan_id, truth_value, truth_low, truth_high, truth_tier, method_notes)</w:t>
        <w:br/>
        <w:t>residuals(loan_id, product_id, abs_err, pct_err, in_range_80, in_range_90, ts_recorded)</w:t>
        <w:br/>
        <w:t>deficiency_event(loan_id, product_id, code, severity, source, note, remediation_status)</w:t>
        <w:br/>
        <w:t>scorecard_product_segment(product_type, segment_id, MAE, Coverage90, TurnTimeMed, DefectRate, CostMed, Score, period_start, period_end)</w:t>
      </w:r>
    </w:p>
    <w:p>
      <w:pPr>
        <w:spacing w:after="80"/>
      </w:pPr>
      <w:r>
        <w:rPr>
          <w:b/>
          <w:sz w:val="26"/>
        </w:rPr>
        <w:t>11) Implementation Roadmap (MVP → V2)</w:t>
      </w:r>
    </w:p>
    <w:p>
      <w:pPr>
        <w:pStyle w:val="ListBullet"/>
      </w:pPr>
      <w:r>
        <w:rPr>
          <w:sz w:val="22"/>
        </w:rPr>
        <w:t>MVP (90–120 days): connectors, AVM/iAVM, fraud/decline detectors, rule engine, dashboards v1, provenance logs, scorecards, PDF ingestion, DVR NLP v1, basic selector.</w:t>
      </w:r>
    </w:p>
    <w:p>
      <w:pPr>
        <w:pStyle w:val="ListBullet"/>
      </w:pPr>
      <w:r>
        <w:rPr>
          <w:sz w:val="22"/>
        </w:rPr>
        <w:t>V1.5 (60–90 days): STR legality layer, CV photo hashing, graph anomalies, enhanced selector, QC automation for BPO &amp; Evaluations, portfolio tapes.</w:t>
      </w:r>
    </w:p>
    <w:p>
      <w:pPr>
        <w:pStyle w:val="ListBullet"/>
      </w:pPr>
      <w:r>
        <w:rPr>
          <w:sz w:val="22"/>
        </w:rPr>
        <w:t>V2: Desktop/Field integrations, advanced doc forensics, champion/challenger, A/B harness, client‑config UI, automated coaching loops.</w:t>
      </w:r>
    </w:p>
    <w:p>
      <w:pPr>
        <w:pStyle w:val="ListBullet"/>
      </w:pPr>
      <w:r>
        <w:rPr>
          <w:sz w:val="22"/>
        </w:rPr>
        <w:t>Acceptance: MAE/coverage targets, SLA turn‑time, audit pack completeness, selector uplift, fraud false‑positive rate.</w:t>
      </w:r>
    </w:p>
    <w:p>
      <w:pPr>
        <w:spacing w:after="80"/>
      </w:pPr>
      <w:r>
        <w:rPr>
          <w:b/>
          <w:sz w:val="26"/>
        </w:rPr>
        <w:t>12) Security &amp; Privacy</w:t>
      </w:r>
    </w:p>
    <w:p>
      <w:pPr>
        <w:pStyle w:val="ListBullet"/>
      </w:pPr>
      <w:r>
        <w:rPr>
          <w:sz w:val="22"/>
        </w:rPr>
        <w:t>PII minimization; role‑based access; encryption in transit/at rest; audit logs; SOC‑aligned controls; licensing compliance; PIAs for new data sources.</w:t>
      </w:r>
    </w:p>
    <w:p>
      <w:pPr>
        <w:spacing w:after="80"/>
      </w:pPr>
      <w:r>
        <w:rPr>
          <w:b/>
          <w:sz w:val="26"/>
        </w:rPr>
        <w:t>13) Appendices</w:t>
      </w:r>
    </w:p>
    <w:p>
      <w:pPr>
        <w:pStyle w:val="ListBullet"/>
      </w:pPr>
      <w:r>
        <w:rPr>
          <w:sz w:val="22"/>
        </w:rPr>
        <w:t>A. Reason Code Catalog</w:t>
      </w:r>
    </w:p>
    <w:p>
      <w:pPr>
        <w:pStyle w:val="ListBullet"/>
      </w:pPr>
      <w:r>
        <w:rPr>
          <w:sz w:val="22"/>
        </w:rPr>
        <w:t>B. Data Dictionary</w:t>
      </w:r>
    </w:p>
    <w:p>
      <w:pPr>
        <w:pStyle w:val="ListBullet"/>
      </w:pPr>
      <w:r>
        <w:rPr>
          <w:sz w:val="22"/>
        </w:rPr>
        <w:t>C. Model Cards</w:t>
      </w:r>
    </w:p>
    <w:p>
      <w:pPr>
        <w:pStyle w:val="ListBullet"/>
      </w:pPr>
      <w:r>
        <w:rPr>
          <w:sz w:val="22"/>
        </w:rPr>
        <w:t>D. Waterfall Policy Templates</w:t>
      </w:r>
    </w:p>
    <w:p>
      <w:pPr>
        <w:pStyle w:val="ListBullet"/>
      </w:pPr>
      <w:r>
        <w:rPr>
          <w:sz w:val="22"/>
        </w:rPr>
        <w:t>E. Dashboard Wireframes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