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830" w:rsidRDefault="003D3817">
      <w:r w:rsidRPr="003A23EC">
        <w:rPr>
          <w:rFonts w:ascii="Times New Roman" w:hAnsi="Times New Roman" w:cs="Times New Roman"/>
          <w:noProof/>
        </w:rPr>
        <w:drawing>
          <wp:inline distT="0" distB="0" distL="0" distR="0">
            <wp:extent cx="5200650" cy="3600450"/>
            <wp:effectExtent l="19050" t="0" r="19050" b="0"/>
            <wp:docPr id="1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D1C2D" w:rsidRPr="00006AA5" w:rsidRDefault="002D1C2D" w:rsidP="002D1C2D">
      <w:pPr>
        <w:pStyle w:val="Caption"/>
        <w:ind w:left="360"/>
      </w:pPr>
      <w:r>
        <w:t>Figure 7.1</w:t>
      </w:r>
      <w:r>
        <w:tab/>
        <w:t>RP Model Significant Variables</w:t>
      </w:r>
    </w:p>
    <w:p w:rsidR="003D3817" w:rsidRDefault="003D3817">
      <w:r w:rsidRPr="003A23EC">
        <w:rPr>
          <w:rFonts w:ascii="Times New Roman" w:hAnsi="Times New Roman" w:cs="Times New Roman"/>
          <w:noProof/>
        </w:rPr>
        <w:drawing>
          <wp:inline distT="0" distB="0" distL="0" distR="0">
            <wp:extent cx="5200650" cy="360045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D1C2D" w:rsidRPr="00006AA5" w:rsidRDefault="002D1C2D" w:rsidP="002D1C2D">
      <w:pPr>
        <w:pStyle w:val="Caption"/>
        <w:ind w:left="360"/>
      </w:pPr>
      <w:r>
        <w:t>Figure 7.2</w:t>
      </w:r>
      <w:r>
        <w:tab/>
        <w:t>BE Model Significant Variables</w:t>
      </w:r>
    </w:p>
    <w:p w:rsidR="003D3817" w:rsidRDefault="003D3817"/>
    <w:p w:rsidR="003D3817" w:rsidRDefault="001D3AFE">
      <w:r w:rsidRPr="001F6513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705475" cy="3724275"/>
            <wp:effectExtent l="19050" t="0" r="9525" b="0"/>
            <wp:docPr id="1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D1C2D" w:rsidRPr="00006AA5" w:rsidRDefault="002D1C2D" w:rsidP="002D1C2D">
      <w:pPr>
        <w:pStyle w:val="Caption"/>
        <w:ind w:left="360"/>
      </w:pPr>
      <w:r>
        <w:t>Figure 7.3a</w:t>
      </w:r>
      <w:r>
        <w:tab/>
        <w:t>SVM Model Significant Variables (1-12)</w:t>
      </w:r>
    </w:p>
    <w:p w:rsidR="001D3AFE" w:rsidRDefault="001D3AFE" w:rsidP="001D3AFE">
      <w:r w:rsidRPr="001F651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05475" cy="3419475"/>
            <wp:effectExtent l="19050" t="0" r="9525" b="0"/>
            <wp:docPr id="21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D3AFE" w:rsidRDefault="002D1C2D" w:rsidP="001D3AFE">
      <w:r>
        <w:t>Figure 7.3b</w:t>
      </w:r>
      <w:r>
        <w:tab/>
        <w:t>SVM Model Significant Variables (13-24)</w:t>
      </w:r>
    </w:p>
    <w:p w:rsidR="001D3AFE" w:rsidRDefault="001D3AFE" w:rsidP="001D3AFE">
      <w:r w:rsidRPr="001F651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05475" cy="3648075"/>
            <wp:effectExtent l="19050" t="0" r="9525" b="0"/>
            <wp:docPr id="1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D1C2D" w:rsidRPr="00006AA5" w:rsidRDefault="002D1C2D" w:rsidP="002D1C2D">
      <w:pPr>
        <w:pStyle w:val="Caption"/>
        <w:ind w:left="360"/>
      </w:pPr>
      <w:r>
        <w:t>Figure 7.3c</w:t>
      </w:r>
      <w:r>
        <w:tab/>
        <w:t>SVM Model Significant Variables (25-36)</w:t>
      </w:r>
    </w:p>
    <w:p w:rsidR="001D3AFE" w:rsidRDefault="001D3AFE" w:rsidP="001D3AFE">
      <w:r w:rsidRPr="001F6513">
        <w:rPr>
          <w:rFonts w:ascii="Times New Roman" w:hAnsi="Times New Roman" w:cs="Times New Roman"/>
          <w:noProof/>
        </w:rPr>
        <w:drawing>
          <wp:inline distT="0" distB="0" distL="0" distR="0">
            <wp:extent cx="5705475" cy="3429000"/>
            <wp:effectExtent l="19050" t="0" r="9525" b="0"/>
            <wp:docPr id="14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D1C2D" w:rsidRDefault="002D1C2D" w:rsidP="002D1C2D">
      <w:pPr>
        <w:pStyle w:val="Caption"/>
        <w:ind w:left="720" w:hanging="360"/>
      </w:pPr>
      <w:r>
        <w:t>Figure 7.3d</w:t>
      </w:r>
      <w:r>
        <w:tab/>
        <w:t>SVM Model Significant Variables (37-52)</w:t>
      </w:r>
    </w:p>
    <w:p w:rsidR="001D3AFE" w:rsidRDefault="001D3AFE" w:rsidP="001D3AFE"/>
    <w:p w:rsidR="001D3AFE" w:rsidRDefault="001D3AFE" w:rsidP="001D3AFE">
      <w:r w:rsidRPr="001F6513">
        <w:rPr>
          <w:noProof/>
        </w:rPr>
        <w:lastRenderedPageBreak/>
        <w:drawing>
          <wp:inline distT="0" distB="0" distL="0" distR="0">
            <wp:extent cx="5705475" cy="3743325"/>
            <wp:effectExtent l="19050" t="0" r="9525" b="0"/>
            <wp:docPr id="19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D1C2D" w:rsidRDefault="002D1C2D" w:rsidP="002D1C2D">
      <w:pPr>
        <w:pStyle w:val="Caption"/>
        <w:ind w:left="720" w:hanging="360"/>
      </w:pPr>
      <w:r>
        <w:t>Figure 7.3e</w:t>
      </w:r>
      <w:r>
        <w:tab/>
        <w:t>SVM Model Significant Variables (53-67)</w:t>
      </w:r>
    </w:p>
    <w:p w:rsidR="001D3AFE" w:rsidRDefault="001D3AFE" w:rsidP="001D3AFE"/>
    <w:p w:rsidR="001D3AFE" w:rsidRDefault="001D3AFE" w:rsidP="001D3AFE">
      <w:r>
        <w:object w:dxaOrig="10740" w:dyaOrig="8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389.25pt" o:ole="">
            <v:imagedata r:id="rId12" o:title=""/>
          </v:shape>
          <o:OLEObject Type="Embed" ProgID="Excel.Sheet.12" ShapeID="_x0000_i1025" DrawAspect="Content" ObjectID="_1420291845" r:id="rId13"/>
        </w:object>
      </w:r>
    </w:p>
    <w:p w:rsidR="002D1C2D" w:rsidRPr="00006AA5" w:rsidRDefault="002D1C2D" w:rsidP="002D1C2D">
      <w:pPr>
        <w:pStyle w:val="Caption"/>
        <w:ind w:left="720" w:hanging="360"/>
      </w:pPr>
      <w:r>
        <w:t>Figure 7.4</w:t>
      </w:r>
      <w:r>
        <w:tab/>
        <w:t>LR Model Significant Variables</w:t>
      </w:r>
    </w:p>
    <w:p w:rsidR="001D3AFE" w:rsidRDefault="00C4679E" w:rsidP="001D3AFE">
      <w:r>
        <w:rPr>
          <w:noProof/>
        </w:rPr>
        <w:lastRenderedPageBreak/>
        <w:drawing>
          <wp:inline distT="0" distB="0" distL="0" distR="0" wp14:anchorId="060E4218" wp14:editId="6C0A3901">
            <wp:extent cx="3667125" cy="366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2D" w:rsidRPr="00006AA5" w:rsidRDefault="002D1C2D" w:rsidP="002D1C2D">
      <w:pPr>
        <w:pStyle w:val="Caption"/>
        <w:ind w:left="720" w:hanging="360"/>
      </w:pPr>
      <w:r>
        <w:t>Figure 7.5</w:t>
      </w:r>
      <w:r>
        <w:tab/>
        <w:t>ROC Curve of Classification Models</w:t>
      </w:r>
    </w:p>
    <w:p w:rsidR="00816172" w:rsidRDefault="00C4679E" w:rsidP="00816172">
      <w:r>
        <w:rPr>
          <w:noProof/>
        </w:rPr>
        <w:drawing>
          <wp:inline distT="0" distB="0" distL="0" distR="0">
            <wp:extent cx="3476625" cy="3476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2D" w:rsidRPr="00006AA5" w:rsidRDefault="002D1C2D" w:rsidP="002D1C2D">
      <w:pPr>
        <w:pStyle w:val="Caption"/>
        <w:ind w:left="720" w:hanging="360"/>
      </w:pPr>
      <w:r>
        <w:t>Figure 7.6</w:t>
      </w:r>
      <w:r>
        <w:tab/>
        <w:t>Cumulative Recall Curve of Classification Models</w:t>
      </w:r>
    </w:p>
    <w:p w:rsidR="001D3AFE" w:rsidRDefault="00C4679E" w:rsidP="001D3AFE">
      <w:r>
        <w:rPr>
          <w:noProof/>
        </w:rPr>
        <w:lastRenderedPageBreak/>
        <w:drawing>
          <wp:inline distT="0" distB="0" distL="0" distR="0">
            <wp:extent cx="3543300" cy="3543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2D" w:rsidRPr="00006AA5" w:rsidRDefault="002D1C2D" w:rsidP="002D1C2D">
      <w:pPr>
        <w:pStyle w:val="Caption"/>
        <w:ind w:left="720" w:hanging="360"/>
        <w:rPr>
          <w:b/>
        </w:rPr>
      </w:pPr>
      <w:bookmarkStart w:id="0" w:name="_GoBack"/>
      <w:bookmarkEnd w:id="0"/>
      <w:r>
        <w:t>Figure 7.7</w:t>
      </w:r>
      <w:r>
        <w:tab/>
        <w:t>Accuracy versus Cut-off Curve of Classification Models</w:t>
      </w:r>
    </w:p>
    <w:p w:rsidR="001D3AFE" w:rsidRDefault="001D3AFE"/>
    <w:sectPr w:rsidR="001D3AFE" w:rsidSect="00C7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56F1"/>
    <w:rsid w:val="001D3AFE"/>
    <w:rsid w:val="002D1C2D"/>
    <w:rsid w:val="003D3817"/>
    <w:rsid w:val="00816172"/>
    <w:rsid w:val="00AC56F1"/>
    <w:rsid w:val="00C32830"/>
    <w:rsid w:val="00C4679E"/>
    <w:rsid w:val="00C7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81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D3817"/>
    <w:pPr>
      <w:spacing w:line="240" w:lineRule="auto"/>
    </w:pPr>
    <w:rPr>
      <w:rFonts w:ascii="Calibri" w:eastAsiaTheme="minorEastAsia" w:hAnsi="Calibri" w:cstheme="minorHAnsi"/>
      <w:bCs/>
      <w:noProof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81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D3817"/>
    <w:pPr>
      <w:spacing w:line="240" w:lineRule="auto"/>
    </w:pPr>
    <w:rPr>
      <w:rFonts w:ascii="Calibri" w:eastAsiaTheme="minorEastAsia" w:hAnsi="Calibri" w:cstheme="minorHAnsi"/>
      <w:bCs/>
      <w:noProof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package" Target="embeddings/Microsoft_Excel_Worksheet1.xls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image" Target="media/image3.png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fool\Desktop\proj%20to%20do%20smth\bi\project%20with%20R\data%20set-%20caravan%20insurance%20poilicy\only%20wo%20relig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fool\Desktop\proj%20to%20do%20smth\bi\project%20with%20R\data%20set-%20caravan%20insurance%20poilicy\only%20wo%20religi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fool\Desktop\proj%20to%20do%20smth\bi\project%20with%20R\data%20set-%20caravan%20insurance%20poilicy\only%20wo%20religio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fool\Desktop\proj%20to%20do%20smth\bi\project%20with%20R\data%20set-%20caravan%20insurance%20poilicy\only%20wo%20religion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fool\Desktop\proj%20to%20do%20smth\bi\project%20with%20R\data%20set-%20caravan%20insurance%20poilicy\only%20wo%20religion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fool\Desktop\proj%20to%20do%20smth\bi\project%20with%20R\data%20set-%20caravan%20insurance%20poilicy\only%20wo%20religion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fool\Desktop\proj%20to%20do%20smth\bi\project%20with%20R\data%20set-%20caravan%20insurance%20poilicy\only%20wo%20relig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RP Model</a:t>
            </a:r>
            <a:r>
              <a:rPr lang="en-US" baseline="0"/>
              <a:t> </a:t>
            </a:r>
            <a:r>
              <a:rPr lang="en-US"/>
              <a:t>Variables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Sheet1!$D$5:$D$16</c:f>
              <c:strCache>
                <c:ptCount val="12"/>
                <c:pt idx="0">
                  <c:v>No. of boat policies </c:v>
                </c:pt>
                <c:pt idx="1">
                  <c:v>Cont. boat policies</c:v>
                </c:pt>
                <c:pt idx="2">
                  <c:v>Purchasing power class</c:v>
                </c:pt>
                <c:pt idx="3">
                  <c:v>Lower level education</c:v>
                </c:pt>
                <c:pt idx="4">
                  <c:v>Cont. fire policies</c:v>
                </c:pt>
                <c:pt idx="5">
                  <c:v>Driven Growers</c:v>
                </c:pt>
                <c:pt idx="6">
                  <c:v>Cont. car policies</c:v>
                </c:pt>
                <c:pt idx="7">
                  <c:v>Average income </c:v>
                </c:pt>
                <c:pt idx="8">
                  <c:v>No. of car policies </c:v>
                </c:pt>
                <c:pt idx="9">
                  <c:v>High level education</c:v>
                </c:pt>
                <c:pt idx="10">
                  <c:v>High status </c:v>
                </c:pt>
                <c:pt idx="11">
                  <c:v>Medium level education</c:v>
                </c:pt>
              </c:strCache>
            </c:strRef>
          </c:cat>
          <c:val>
            <c:numRef>
              <c:f>Sheet1!$E$5:$E$16</c:f>
              <c:numCache>
                <c:formatCode>0.00</c:formatCode>
                <c:ptCount val="12"/>
                <c:pt idx="0">
                  <c:v>6.5215259999999997E-2</c:v>
                </c:pt>
                <c:pt idx="1">
                  <c:v>6.5215259999999997E-2</c:v>
                </c:pt>
                <c:pt idx="2">
                  <c:v>4.8984899999999998E-2</c:v>
                </c:pt>
                <c:pt idx="3">
                  <c:v>3.8202500000000014E-2</c:v>
                </c:pt>
                <c:pt idx="4">
                  <c:v>3.4938520000000001E-2</c:v>
                </c:pt>
                <c:pt idx="5">
                  <c:v>3.2155520000000014E-2</c:v>
                </c:pt>
                <c:pt idx="6">
                  <c:v>3.1744010000000038E-2</c:v>
                </c:pt>
                <c:pt idx="7">
                  <c:v>2.8308859999999977E-2</c:v>
                </c:pt>
                <c:pt idx="8">
                  <c:v>2.0199399999999999E-2</c:v>
                </c:pt>
                <c:pt idx="9">
                  <c:v>1.6890680000000019E-2</c:v>
                </c:pt>
                <c:pt idx="10">
                  <c:v>1.4466639999999999E-2</c:v>
                </c:pt>
                <c:pt idx="11">
                  <c:v>1.394856000000004E-2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018112"/>
        <c:axId val="75185152"/>
      </c:barChart>
      <c:catAx>
        <c:axId val="65018112"/>
        <c:scaling>
          <c:orientation val="minMax"/>
        </c:scaling>
        <c:delete val="0"/>
        <c:axPos val="b"/>
        <c:majorTickMark val="none"/>
        <c:minorTickMark val="none"/>
        <c:tickLblPos val="nextTo"/>
        <c:crossAx val="75185152"/>
        <c:crosses val="autoZero"/>
        <c:auto val="1"/>
        <c:lblAlgn val="ctr"/>
        <c:lblOffset val="100"/>
        <c:noMultiLvlLbl val="0"/>
      </c:catAx>
      <c:valAx>
        <c:axId val="75185152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650181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/>
              <a:t>BE Model Variables</a:t>
            </a:r>
            <a:endParaRPr lang="en-IN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Sheet1!$D$5:$D$16</c:f>
              <c:strCache>
                <c:ptCount val="12"/>
                <c:pt idx="0">
                  <c:v>No. of boat policies </c:v>
                </c:pt>
                <c:pt idx="1">
                  <c:v>Cont. boat policies</c:v>
                </c:pt>
                <c:pt idx="2">
                  <c:v>Purchasing power class</c:v>
                </c:pt>
                <c:pt idx="3">
                  <c:v>Lower level education</c:v>
                </c:pt>
                <c:pt idx="4">
                  <c:v>Cont. fire policies</c:v>
                </c:pt>
                <c:pt idx="5">
                  <c:v>Driven Growers</c:v>
                </c:pt>
                <c:pt idx="6">
                  <c:v>Cont. car policies</c:v>
                </c:pt>
                <c:pt idx="7">
                  <c:v>Average income </c:v>
                </c:pt>
                <c:pt idx="8">
                  <c:v>No. of car policies </c:v>
                </c:pt>
                <c:pt idx="9">
                  <c:v>High level education</c:v>
                </c:pt>
                <c:pt idx="10">
                  <c:v>High status </c:v>
                </c:pt>
                <c:pt idx="11">
                  <c:v>Medium level education</c:v>
                </c:pt>
              </c:strCache>
            </c:strRef>
          </c:cat>
          <c:val>
            <c:numRef>
              <c:f>Sheet1!$E$5:$E$16</c:f>
              <c:numCache>
                <c:formatCode>0.00</c:formatCode>
                <c:ptCount val="12"/>
                <c:pt idx="0">
                  <c:v>6.5215259999999997E-2</c:v>
                </c:pt>
                <c:pt idx="1">
                  <c:v>6.5215259999999997E-2</c:v>
                </c:pt>
                <c:pt idx="2">
                  <c:v>4.8984899999999998E-2</c:v>
                </c:pt>
                <c:pt idx="3">
                  <c:v>3.82025E-2</c:v>
                </c:pt>
                <c:pt idx="4">
                  <c:v>3.4938520000000001E-2</c:v>
                </c:pt>
                <c:pt idx="5">
                  <c:v>3.215552E-2</c:v>
                </c:pt>
                <c:pt idx="6">
                  <c:v>3.174401000000001E-2</c:v>
                </c:pt>
                <c:pt idx="7">
                  <c:v>2.8308859999999977E-2</c:v>
                </c:pt>
                <c:pt idx="8">
                  <c:v>2.0199399999999999E-2</c:v>
                </c:pt>
                <c:pt idx="9">
                  <c:v>1.6890680000000005E-2</c:v>
                </c:pt>
                <c:pt idx="10">
                  <c:v>1.4466639999999999E-2</c:v>
                </c:pt>
                <c:pt idx="11">
                  <c:v>1.3948560000000035E-2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053056"/>
        <c:axId val="65054592"/>
      </c:barChart>
      <c:catAx>
        <c:axId val="65053056"/>
        <c:scaling>
          <c:orientation val="minMax"/>
        </c:scaling>
        <c:delete val="0"/>
        <c:axPos val="b"/>
        <c:majorTickMark val="none"/>
        <c:minorTickMark val="none"/>
        <c:tickLblPos val="nextTo"/>
        <c:crossAx val="65054592"/>
        <c:crosses val="autoZero"/>
        <c:auto val="1"/>
        <c:lblAlgn val="ctr"/>
        <c:lblOffset val="100"/>
        <c:noMultiLvlLbl val="0"/>
      </c:catAx>
      <c:valAx>
        <c:axId val="65054592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650530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/>
              <a:t>SVM Model Variables</a:t>
            </a:r>
            <a:r>
              <a:rPr lang="en-IN" sz="1800" b="1" i="0" baseline="0"/>
              <a:t> </a:t>
            </a:r>
            <a:r>
              <a:rPr lang="en-US"/>
              <a:t>(1-12)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Sheet8!$E$4:$E$15</c:f>
              <c:strCache>
                <c:ptCount val="12"/>
                <c:pt idx="0">
                  <c:v>Cont. car policies</c:v>
                </c:pt>
                <c:pt idx="1">
                  <c:v>Cont. social security ins. policies</c:v>
                </c:pt>
                <c:pt idx="2">
                  <c:v>Cont. boat policies</c:v>
                </c:pt>
                <c:pt idx="3">
                  <c:v>Cont. fire policies</c:v>
                </c:pt>
                <c:pt idx="4">
                  <c:v>Lower level education</c:v>
                </c:pt>
                <c:pt idx="5">
                  <c:v>Household without children</c:v>
                </c:pt>
                <c:pt idx="6">
                  <c:v>Skilled labourers </c:v>
                </c:pt>
                <c:pt idx="7">
                  <c:v>2 cars </c:v>
                </c:pt>
                <c:pt idx="8">
                  <c:v>No. of boat policies </c:v>
                </c:pt>
                <c:pt idx="9">
                  <c:v>Singles  </c:v>
                </c:pt>
                <c:pt idx="10">
                  <c:v>Social class A</c:v>
                </c:pt>
                <c:pt idx="11">
                  <c:v>Cont. private third ins.( 0)</c:v>
                </c:pt>
              </c:strCache>
            </c:strRef>
          </c:cat>
          <c:val>
            <c:numRef>
              <c:f>Sheet8!$F$4:$F$15</c:f>
              <c:numCache>
                <c:formatCode>0.00</c:formatCode>
                <c:ptCount val="12"/>
                <c:pt idx="0">
                  <c:v>12.314859527348329</c:v>
                </c:pt>
                <c:pt idx="1">
                  <c:v>9.2520771035370579</c:v>
                </c:pt>
                <c:pt idx="2">
                  <c:v>7.8239667315894872</c:v>
                </c:pt>
                <c:pt idx="3">
                  <c:v>7.6769843271521072</c:v>
                </c:pt>
                <c:pt idx="4">
                  <c:v>6.35725660005187</c:v>
                </c:pt>
                <c:pt idx="5">
                  <c:v>4.6950600015394297</c:v>
                </c:pt>
                <c:pt idx="6">
                  <c:v>4.4358560160845997</c:v>
                </c:pt>
                <c:pt idx="7">
                  <c:v>4.0901950163895355</c:v>
                </c:pt>
                <c:pt idx="8">
                  <c:v>4.06011179865986</c:v>
                </c:pt>
                <c:pt idx="9">
                  <c:v>3.7150951695989587</c:v>
                </c:pt>
                <c:pt idx="10">
                  <c:v>3.5596074560218587</c:v>
                </c:pt>
                <c:pt idx="11">
                  <c:v>3.52046149287301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062400"/>
        <c:axId val="65063936"/>
      </c:barChart>
      <c:catAx>
        <c:axId val="65062400"/>
        <c:scaling>
          <c:orientation val="minMax"/>
        </c:scaling>
        <c:delete val="0"/>
        <c:axPos val="b"/>
        <c:majorTickMark val="none"/>
        <c:minorTickMark val="none"/>
        <c:tickLblPos val="nextTo"/>
        <c:crossAx val="65063936"/>
        <c:crosses val="autoZero"/>
        <c:auto val="1"/>
        <c:lblAlgn val="ctr"/>
        <c:lblOffset val="100"/>
        <c:noMultiLvlLbl val="0"/>
      </c:catAx>
      <c:valAx>
        <c:axId val="65063936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650624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/>
              <a:t>SVM Model Variables (</a:t>
            </a:r>
            <a:r>
              <a:rPr lang="en-US"/>
              <a:t>13-24)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Sheet8!$E$16:$E$27</c:f>
              <c:strCache>
                <c:ptCount val="12"/>
                <c:pt idx="0">
                  <c:v>Average income </c:v>
                </c:pt>
                <c:pt idx="1">
                  <c:v>Cont. disability ins.</c:v>
                </c:pt>
                <c:pt idx="2">
                  <c:v>Income 75-122.000 </c:v>
                </c:pt>
                <c:pt idx="3">
                  <c:v>High status </c:v>
                </c:pt>
                <c:pt idx="4">
                  <c:v>Private health ins.</c:v>
                </c:pt>
                <c:pt idx="5">
                  <c:v>Income &gt;123.000 </c:v>
                </c:pt>
                <c:pt idx="6">
                  <c:v>Cont. life ins.</c:v>
                </c:pt>
                <c:pt idx="7">
                  <c:v>Conservative families</c:v>
                </c:pt>
                <c:pt idx="8">
                  <c:v>No. of social security ins.</c:v>
                </c:pt>
                <c:pt idx="9">
                  <c:v>Affluent young families</c:v>
                </c:pt>
                <c:pt idx="10">
                  <c:v>No. of life ins.s </c:v>
                </c:pt>
                <c:pt idx="11">
                  <c:v>Cont. private third ins.(50–99)</c:v>
                </c:pt>
              </c:strCache>
            </c:strRef>
          </c:cat>
          <c:val>
            <c:numRef>
              <c:f>Sheet8!$F$16:$F$27</c:f>
              <c:numCache>
                <c:formatCode>0.00</c:formatCode>
                <c:ptCount val="12"/>
                <c:pt idx="0">
                  <c:v>3.4309107444165412</c:v>
                </c:pt>
                <c:pt idx="1">
                  <c:v>3.3910425424474502</c:v>
                </c:pt>
                <c:pt idx="2">
                  <c:v>3.3739775756808998</c:v>
                </c:pt>
                <c:pt idx="3">
                  <c:v>3.32918431191387</c:v>
                </c:pt>
                <c:pt idx="4">
                  <c:v>3.263177027696182</c:v>
                </c:pt>
                <c:pt idx="5">
                  <c:v>3.1421418158221401</c:v>
                </c:pt>
                <c:pt idx="6">
                  <c:v>3.1207231739235799</c:v>
                </c:pt>
                <c:pt idx="7">
                  <c:v>3.0838996622353072</c:v>
                </c:pt>
                <c:pt idx="8">
                  <c:v>2.9730278622922772</c:v>
                </c:pt>
                <c:pt idx="9">
                  <c:v>2.95477092807677</c:v>
                </c:pt>
                <c:pt idx="10">
                  <c:v>2.8336847941057597</c:v>
                </c:pt>
                <c:pt idx="11">
                  <c:v>2.7696203345802197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071744"/>
        <c:axId val="65225088"/>
      </c:barChart>
      <c:catAx>
        <c:axId val="65071744"/>
        <c:scaling>
          <c:orientation val="minMax"/>
        </c:scaling>
        <c:delete val="0"/>
        <c:axPos val="b"/>
        <c:majorTickMark val="none"/>
        <c:minorTickMark val="none"/>
        <c:tickLblPos val="nextTo"/>
        <c:crossAx val="65225088"/>
        <c:crosses val="autoZero"/>
        <c:auto val="1"/>
        <c:lblAlgn val="ctr"/>
        <c:lblOffset val="100"/>
        <c:noMultiLvlLbl val="0"/>
      </c:catAx>
      <c:valAx>
        <c:axId val="65225088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650717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/>
              <a:t>SVM Model Variables</a:t>
            </a:r>
            <a:r>
              <a:rPr lang="en-IN" sz="1800" b="1" i="0" baseline="0"/>
              <a:t> (25- 3</a:t>
            </a:r>
            <a:r>
              <a:rPr lang="en-US" baseline="0"/>
              <a:t>6)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Sheet8!$E$28:$E$39</c:f>
              <c:strCache>
                <c:ptCount val="12"/>
                <c:pt idx="0">
                  <c:v>No. of private third party</c:v>
                </c:pt>
                <c:pt idx="1">
                  <c:v>Average Family</c:v>
                </c:pt>
                <c:pt idx="2">
                  <c:v>Cont. family accidents</c:v>
                </c:pt>
                <c:pt idx="3">
                  <c:v>National Health Service</c:v>
                </c:pt>
                <c:pt idx="4">
                  <c:v>Stable family</c:v>
                </c:pt>
                <c:pt idx="5">
                  <c:v>Rented house </c:v>
                </c:pt>
                <c:pt idx="6">
                  <c:v>High Income, expensive child</c:v>
                </c:pt>
                <c:pt idx="7">
                  <c:v>Cont. bicycle policies</c:v>
                </c:pt>
                <c:pt idx="8">
                  <c:v>Traditional families</c:v>
                </c:pt>
                <c:pt idx="9">
                  <c:v>Other relation </c:v>
                </c:pt>
                <c:pt idx="10">
                  <c:v>Cont. trailer policies</c:v>
                </c:pt>
                <c:pt idx="11">
                  <c:v>Income 30-45.000 </c:v>
                </c:pt>
              </c:strCache>
            </c:strRef>
          </c:cat>
          <c:val>
            <c:numRef>
              <c:f>Sheet8!$F$28:$F$39</c:f>
              <c:numCache>
                <c:formatCode>0.00</c:formatCode>
                <c:ptCount val="12"/>
                <c:pt idx="0">
                  <c:v>2.76914901396511</c:v>
                </c:pt>
                <c:pt idx="1">
                  <c:v>2.6187101572570182</c:v>
                </c:pt>
                <c:pt idx="2">
                  <c:v>2.5975144233925498</c:v>
                </c:pt>
                <c:pt idx="3">
                  <c:v>2.56547878600621</c:v>
                </c:pt>
                <c:pt idx="4">
                  <c:v>2.4783433432485467</c:v>
                </c:pt>
                <c:pt idx="5">
                  <c:v>2.4392291298566624</c:v>
                </c:pt>
                <c:pt idx="6">
                  <c:v>2.40767840199709</c:v>
                </c:pt>
                <c:pt idx="7">
                  <c:v>2.315480436224111</c:v>
                </c:pt>
                <c:pt idx="8">
                  <c:v>2.2931747050193301</c:v>
                </c:pt>
                <c:pt idx="9">
                  <c:v>2.2817086135964599</c:v>
                </c:pt>
                <c:pt idx="10">
                  <c:v>2.2148494308979587</c:v>
                </c:pt>
                <c:pt idx="11">
                  <c:v>2.194455450044754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249280"/>
        <c:axId val="65250816"/>
      </c:barChart>
      <c:catAx>
        <c:axId val="65249280"/>
        <c:scaling>
          <c:orientation val="minMax"/>
        </c:scaling>
        <c:delete val="0"/>
        <c:axPos val="b"/>
        <c:majorTickMark val="none"/>
        <c:minorTickMark val="none"/>
        <c:tickLblPos val="nextTo"/>
        <c:crossAx val="65250816"/>
        <c:crosses val="autoZero"/>
        <c:auto val="1"/>
        <c:lblAlgn val="ctr"/>
        <c:lblOffset val="100"/>
        <c:noMultiLvlLbl val="0"/>
      </c:catAx>
      <c:valAx>
        <c:axId val="65250816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652492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/>
              <a:t>SVM Model Variables</a:t>
            </a:r>
            <a:r>
              <a:rPr lang="en-IN" sz="1800" b="1" i="0" baseline="0"/>
              <a:t> </a:t>
            </a:r>
            <a:r>
              <a:rPr lang="en-US"/>
              <a:t>(37-52)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Sheet8!$E$40:$E$54</c:f>
              <c:strCache>
                <c:ptCount val="15"/>
                <c:pt idx="0">
                  <c:v>No. of bicycle policies </c:v>
                </c:pt>
                <c:pt idx="1">
                  <c:v>Cont. motorcycle/scooter policies</c:v>
                </c:pt>
                <c:pt idx="2">
                  <c:v>1 car </c:v>
                </c:pt>
                <c:pt idx="3">
                  <c:v>Middle class families</c:v>
                </c:pt>
                <c:pt idx="4">
                  <c:v>No. of moped policies </c:v>
                </c:pt>
                <c:pt idx="5">
                  <c:v>Home owners </c:v>
                </c:pt>
                <c:pt idx="6">
                  <c:v>Avg size household</c:v>
                </c:pt>
                <c:pt idx="7">
                  <c:v>No. of property ins. policies</c:v>
                </c:pt>
                <c:pt idx="8">
                  <c:v>No. of motorcycle/scooter policies </c:v>
                </c:pt>
                <c:pt idx="9">
                  <c:v>No. of households</c:v>
                </c:pt>
                <c:pt idx="10">
                  <c:v>Driven Growers</c:v>
                </c:pt>
                <c:pt idx="11">
                  <c:v>Entrepreneur  </c:v>
                </c:pt>
                <c:pt idx="12">
                  <c:v>Double income no kids</c:v>
                </c:pt>
                <c:pt idx="13">
                  <c:v>Social class B1</c:v>
                </c:pt>
                <c:pt idx="14">
                  <c:v>Social class C</c:v>
                </c:pt>
              </c:strCache>
            </c:strRef>
          </c:cat>
          <c:val>
            <c:numRef>
              <c:f>Sheet8!$F$40:$F$54</c:f>
              <c:numCache>
                <c:formatCode>0.00</c:formatCode>
                <c:ptCount val="15"/>
                <c:pt idx="0">
                  <c:v>2.1773405220138877</c:v>
                </c:pt>
                <c:pt idx="1">
                  <c:v>2.10868629515782</c:v>
                </c:pt>
                <c:pt idx="2">
                  <c:v>2.0865361122562698</c:v>
                </c:pt>
                <c:pt idx="3">
                  <c:v>1.9401180613585964</c:v>
                </c:pt>
                <c:pt idx="4">
                  <c:v>1.90314671155141</c:v>
                </c:pt>
                <c:pt idx="5">
                  <c:v>1.8911475915170128</c:v>
                </c:pt>
                <c:pt idx="6">
                  <c:v>1.8139497073500668</c:v>
                </c:pt>
                <c:pt idx="7">
                  <c:v>1.7932821353302801</c:v>
                </c:pt>
                <c:pt idx="8">
                  <c:v>1.6660474186036136</c:v>
                </c:pt>
                <c:pt idx="9">
                  <c:v>1.62151864581523</c:v>
                </c:pt>
                <c:pt idx="10">
                  <c:v>1.6183663515883799</c:v>
                </c:pt>
                <c:pt idx="11">
                  <c:v>1.6097999474575198</c:v>
                </c:pt>
                <c:pt idx="12">
                  <c:v>1.5686567871016599</c:v>
                </c:pt>
                <c:pt idx="13">
                  <c:v>1.56841064083425</c:v>
                </c:pt>
                <c:pt idx="14">
                  <c:v>1.4972986925719156</c:v>
                </c:pt>
              </c:numCache>
            </c:numRef>
          </c:val>
        </c:ser>
        <c:ser>
          <c:idx val="1"/>
          <c:order val="1"/>
          <c:invertIfNegative val="0"/>
          <c:cat>
            <c:strRef>
              <c:f>Sheet8!$E$40:$E$54</c:f>
              <c:strCache>
                <c:ptCount val="15"/>
                <c:pt idx="0">
                  <c:v>No. of bicycle policies </c:v>
                </c:pt>
                <c:pt idx="1">
                  <c:v>Cont. motorcycle/scooter policies</c:v>
                </c:pt>
                <c:pt idx="2">
                  <c:v>1 car </c:v>
                </c:pt>
                <c:pt idx="3">
                  <c:v>Middle class families</c:v>
                </c:pt>
                <c:pt idx="4">
                  <c:v>No. of moped policies </c:v>
                </c:pt>
                <c:pt idx="5">
                  <c:v>Home owners </c:v>
                </c:pt>
                <c:pt idx="6">
                  <c:v>Avg size household</c:v>
                </c:pt>
                <c:pt idx="7">
                  <c:v>No. of property ins. policies</c:v>
                </c:pt>
                <c:pt idx="8">
                  <c:v>No. of motorcycle/scooter policies </c:v>
                </c:pt>
                <c:pt idx="9">
                  <c:v>No. of households</c:v>
                </c:pt>
                <c:pt idx="10">
                  <c:v>Driven Growers</c:v>
                </c:pt>
                <c:pt idx="11">
                  <c:v>Entrepreneur  </c:v>
                </c:pt>
                <c:pt idx="12">
                  <c:v>Double income no kids</c:v>
                </c:pt>
                <c:pt idx="13">
                  <c:v>Social class B1</c:v>
                </c:pt>
                <c:pt idx="14">
                  <c:v>Social class C</c:v>
                </c:pt>
              </c:strCache>
            </c:strRef>
          </c:cat>
          <c:val>
            <c:numRef>
              <c:f>Sheet8!$G$40:$G$54</c:f>
              <c:numCache>
                <c:formatCode>General</c:formatCode>
                <c:ptCount val="1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267584"/>
        <c:axId val="65269120"/>
      </c:barChart>
      <c:catAx>
        <c:axId val="65267584"/>
        <c:scaling>
          <c:orientation val="minMax"/>
        </c:scaling>
        <c:delete val="0"/>
        <c:axPos val="b"/>
        <c:majorTickMark val="none"/>
        <c:minorTickMark val="none"/>
        <c:tickLblPos val="nextTo"/>
        <c:crossAx val="65269120"/>
        <c:crosses val="autoZero"/>
        <c:auto val="1"/>
        <c:lblAlgn val="ctr"/>
        <c:lblOffset val="100"/>
        <c:noMultiLvlLbl val="0"/>
      </c:catAx>
      <c:valAx>
        <c:axId val="65269120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652675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SVM Model Variables (53-67)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Sheet8!$E$55:$E$70</c:f>
              <c:strCache>
                <c:ptCount val="16"/>
                <c:pt idx="0">
                  <c:v>Cont. delivery van</c:v>
                </c:pt>
                <c:pt idx="1">
                  <c:v>High status seniors</c:v>
                </c:pt>
                <c:pt idx="2">
                  <c:v>Social class D</c:v>
                </c:pt>
                <c:pt idx="3">
                  <c:v>Middle management </c:v>
                </c:pt>
                <c:pt idx="4">
                  <c:v>Family starters</c:v>
                </c:pt>
                <c:pt idx="5">
                  <c:v>No car </c:v>
                </c:pt>
                <c:pt idx="6">
                  <c:v>No. of tractor policies </c:v>
                </c:pt>
                <c:pt idx="7">
                  <c:v>No. of car policies </c:v>
                </c:pt>
                <c:pt idx="8">
                  <c:v>Living together </c:v>
                </c:pt>
                <c:pt idx="9">
                  <c:v>Career and childcare</c:v>
                </c:pt>
                <c:pt idx="10">
                  <c:v>Religious elderly singles</c:v>
                </c:pt>
                <c:pt idx="11">
                  <c:v>Cont. lorry policies</c:v>
                </c:pt>
                <c:pt idx="12">
                  <c:v>Cont. third party(agriculture)</c:v>
                </c:pt>
                <c:pt idx="13">
                  <c:v>Cont. moped policies</c:v>
                </c:pt>
                <c:pt idx="14">
                  <c:v>Young and rising</c:v>
                </c:pt>
                <c:pt idx="15">
                  <c:v>Cont. private third ins.(100–199)</c:v>
                </c:pt>
              </c:strCache>
            </c:strRef>
          </c:cat>
          <c:val>
            <c:numRef>
              <c:f>Sheet8!$F$55:$F$70</c:f>
              <c:numCache>
                <c:formatCode>0.00</c:formatCode>
                <c:ptCount val="16"/>
                <c:pt idx="0">
                  <c:v>1.4127750605914</c:v>
                </c:pt>
                <c:pt idx="1">
                  <c:v>1.4103168285296399</c:v>
                </c:pt>
                <c:pt idx="2">
                  <c:v>1.3950241741903999</c:v>
                </c:pt>
                <c:pt idx="3">
                  <c:v>1.3886919993886</c:v>
                </c:pt>
                <c:pt idx="4">
                  <c:v>1.38727549892362</c:v>
                </c:pt>
                <c:pt idx="5">
                  <c:v>1.35179582787361</c:v>
                </c:pt>
                <c:pt idx="6">
                  <c:v>1.3343417991792899</c:v>
                </c:pt>
                <c:pt idx="7">
                  <c:v>1.2665150134367034</c:v>
                </c:pt>
                <c:pt idx="8">
                  <c:v>1.2483433430655899</c:v>
                </c:pt>
                <c:pt idx="9">
                  <c:v>1.2469050773314398</c:v>
                </c:pt>
                <c:pt idx="10">
                  <c:v>1.2025446910290754</c:v>
                </c:pt>
                <c:pt idx="11">
                  <c:v>1.1969519493217757</c:v>
                </c:pt>
                <c:pt idx="12">
                  <c:v>1.1169260982587699</c:v>
                </c:pt>
                <c:pt idx="13">
                  <c:v>1.0497631783857799</c:v>
                </c:pt>
                <c:pt idx="14">
                  <c:v>1.0427050778361</c:v>
                </c:pt>
                <c:pt idx="15">
                  <c:v>1.0060132715440999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6332032"/>
        <c:axId val="76342016"/>
      </c:barChart>
      <c:catAx>
        <c:axId val="76332032"/>
        <c:scaling>
          <c:orientation val="minMax"/>
        </c:scaling>
        <c:delete val="0"/>
        <c:axPos val="b"/>
        <c:majorTickMark val="none"/>
        <c:minorTickMark val="none"/>
        <c:tickLblPos val="nextTo"/>
        <c:crossAx val="76342016"/>
        <c:crosses val="autoZero"/>
        <c:auto val="1"/>
        <c:lblAlgn val="ctr"/>
        <c:lblOffset val="100"/>
        <c:noMultiLvlLbl val="0"/>
      </c:catAx>
      <c:valAx>
        <c:axId val="76342016"/>
        <c:scaling>
          <c:orientation val="minMax"/>
        </c:scaling>
        <c:delete val="0"/>
        <c:axPos val="l"/>
        <c:majorGridlines/>
        <c:numFmt formatCode="0.00" sourceLinked="1"/>
        <c:majorTickMark val="none"/>
        <c:minorTickMark val="none"/>
        <c:tickLblPos val="nextTo"/>
        <c:crossAx val="763320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90</Words>
  <Characters>518</Characters>
  <Application>Microsoft Office Word</Application>
  <DocSecurity>0</DocSecurity>
  <Lines>4</Lines>
  <Paragraphs>1</Paragraphs>
  <ScaleCrop>false</ScaleCrop>
  <Company>Microsoft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Mudit Gupta</dc:creator>
  <cp:lastModifiedBy>Mudit Gupta</cp:lastModifiedBy>
  <cp:revision>4</cp:revision>
  <dcterms:created xsi:type="dcterms:W3CDTF">2013-01-21T06:27:00Z</dcterms:created>
  <dcterms:modified xsi:type="dcterms:W3CDTF">2013-01-21T11:14:00Z</dcterms:modified>
</cp:coreProperties>
</file>