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0343EDE4">
            <wp:extent cx="3182816" cy="2351667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 w:rsidRPr="00570BFB">
        <w:rPr>
          <w:rFonts w:ascii="Times New Roman" w:eastAsia="宋体" w:hAnsi="Times New Roman" w:hint="eastAsia"/>
        </w:rPr>
        <w:lastRenderedPageBreak/>
        <w:t>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CB9B" w14:textId="1E67CEB6" w:rsidR="007E6160" w:rsidRPr="00C527B9" w:rsidRDefault="007E6160" w:rsidP="00C527B9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7F9A0223" w14:textId="5250EC41" w:rsidR="00C527B9" w:rsidRPr="002C2BB7" w:rsidRDefault="00C527B9" w:rsidP="007E616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584570E" wp14:editId="410C549B">
            <wp:extent cx="2946400" cy="102244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ACE" w14:textId="2F1545F0" w:rsidR="007E6160" w:rsidRPr="00C527B9" w:rsidRDefault="007E6160" w:rsidP="00C527B9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0DA151B6" w14:textId="7784718E" w:rsidR="00C527B9" w:rsidRPr="002C2BB7" w:rsidRDefault="00C527B9" w:rsidP="00EB6C38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F055859" wp14:editId="7B1B2505">
            <wp:extent cx="2082800" cy="9341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E1E" w14:textId="4000C3BF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</w:t>
      </w:r>
      <w:r w:rsidR="00E552B1">
        <w:rPr>
          <w:rFonts w:ascii="Times New Roman" w:eastAsia="宋体" w:hAnsi="Times New Roman"/>
          <w:b/>
          <w:bCs/>
          <w:color w:val="FF0000"/>
        </w:rPr>
        <w:t>2</w:t>
      </w:r>
      <w:r w:rsidR="00E40B30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C527B9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E552B1">
        <w:rPr>
          <w:rFonts w:ascii="Times New Roman" w:eastAsia="宋体" w:hAnsi="Times New Roman"/>
          <w:b/>
          <w:bCs/>
          <w:color w:val="FF0000"/>
        </w:rPr>
        <w:t>2</w:t>
      </w:r>
      <w:r w:rsidR="00E40B30">
        <w:rPr>
          <w:rFonts w:ascii="Times New Roman" w:eastAsia="宋体" w:hAnsi="Times New Roman" w:hint="eastAsia"/>
          <w:b/>
          <w:bCs/>
          <w:color w:val="FF0000"/>
        </w:rPr>
        <w:t>8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17ED2" w14:textId="77777777" w:rsidR="00721EF2" w:rsidRDefault="00721EF2" w:rsidP="002950D4">
      <w:pPr>
        <w:rPr>
          <w:rFonts w:hint="eastAsia"/>
        </w:rPr>
      </w:pPr>
      <w:r>
        <w:separator/>
      </w:r>
    </w:p>
  </w:endnote>
  <w:endnote w:type="continuationSeparator" w:id="0">
    <w:p w14:paraId="3205161A" w14:textId="77777777" w:rsidR="00721EF2" w:rsidRDefault="00721EF2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07F16" w14:textId="77777777" w:rsidR="00721EF2" w:rsidRDefault="00721EF2" w:rsidP="002950D4">
      <w:pPr>
        <w:rPr>
          <w:rFonts w:hint="eastAsia"/>
        </w:rPr>
      </w:pPr>
      <w:r>
        <w:separator/>
      </w:r>
    </w:p>
  </w:footnote>
  <w:footnote w:type="continuationSeparator" w:id="0">
    <w:p w14:paraId="11DCDCD5" w14:textId="77777777" w:rsidR="00721EF2" w:rsidRDefault="00721EF2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252606">
    <w:abstractNumId w:val="13"/>
  </w:num>
  <w:num w:numId="2" w16cid:durableId="526456112">
    <w:abstractNumId w:val="16"/>
  </w:num>
  <w:num w:numId="3" w16cid:durableId="854658553">
    <w:abstractNumId w:val="5"/>
  </w:num>
  <w:num w:numId="4" w16cid:durableId="630015134">
    <w:abstractNumId w:val="3"/>
  </w:num>
  <w:num w:numId="5" w16cid:durableId="2097095109">
    <w:abstractNumId w:val="2"/>
  </w:num>
  <w:num w:numId="6" w16cid:durableId="1129473383">
    <w:abstractNumId w:val="15"/>
  </w:num>
  <w:num w:numId="7" w16cid:durableId="1092973339">
    <w:abstractNumId w:val="17"/>
  </w:num>
  <w:num w:numId="8" w16cid:durableId="1927881747">
    <w:abstractNumId w:val="10"/>
  </w:num>
  <w:num w:numId="9" w16cid:durableId="1466195932">
    <w:abstractNumId w:val="0"/>
  </w:num>
  <w:num w:numId="10" w16cid:durableId="112099071">
    <w:abstractNumId w:val="7"/>
  </w:num>
  <w:num w:numId="11" w16cid:durableId="607394649">
    <w:abstractNumId w:val="1"/>
  </w:num>
  <w:num w:numId="12" w16cid:durableId="1574462483">
    <w:abstractNumId w:val="4"/>
  </w:num>
  <w:num w:numId="13" w16cid:durableId="1500657622">
    <w:abstractNumId w:val="9"/>
  </w:num>
  <w:num w:numId="14" w16cid:durableId="582571430">
    <w:abstractNumId w:val="12"/>
  </w:num>
  <w:num w:numId="15" w16cid:durableId="475033861">
    <w:abstractNumId w:val="6"/>
  </w:num>
  <w:num w:numId="16" w16cid:durableId="1709448663">
    <w:abstractNumId w:val="20"/>
  </w:num>
  <w:num w:numId="17" w16cid:durableId="751202868">
    <w:abstractNumId w:val="18"/>
  </w:num>
  <w:num w:numId="18" w16cid:durableId="2048872199">
    <w:abstractNumId w:val="21"/>
  </w:num>
  <w:num w:numId="19" w16cid:durableId="1408840309">
    <w:abstractNumId w:val="23"/>
  </w:num>
  <w:num w:numId="20" w16cid:durableId="1954707838">
    <w:abstractNumId w:val="22"/>
  </w:num>
  <w:num w:numId="21" w16cid:durableId="89203051">
    <w:abstractNumId w:val="14"/>
  </w:num>
  <w:num w:numId="22" w16cid:durableId="1902790165">
    <w:abstractNumId w:val="19"/>
  </w:num>
  <w:num w:numId="23" w16cid:durableId="787889446">
    <w:abstractNumId w:val="11"/>
  </w:num>
  <w:num w:numId="24" w16cid:durableId="2071536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09260C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2571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D4930"/>
    <w:rsid w:val="00721EF2"/>
    <w:rsid w:val="0073025E"/>
    <w:rsid w:val="0076202A"/>
    <w:rsid w:val="00765584"/>
    <w:rsid w:val="007966B5"/>
    <w:rsid w:val="00797992"/>
    <w:rsid w:val="007E6160"/>
    <w:rsid w:val="00800B53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B912B2"/>
    <w:rsid w:val="00C46000"/>
    <w:rsid w:val="00C527B9"/>
    <w:rsid w:val="00C550A2"/>
    <w:rsid w:val="00C563DD"/>
    <w:rsid w:val="00C63EA8"/>
    <w:rsid w:val="00C72C26"/>
    <w:rsid w:val="00C82C92"/>
    <w:rsid w:val="00C848BC"/>
    <w:rsid w:val="00C862CD"/>
    <w:rsid w:val="00C95712"/>
    <w:rsid w:val="00CC423E"/>
    <w:rsid w:val="00CF47B8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40B30"/>
    <w:rsid w:val="00E552B1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52B3-994D-480F-8DED-F64794FC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kw 涂</cp:lastModifiedBy>
  <cp:revision>49</cp:revision>
  <cp:lastPrinted>2021-06-24T10:20:00Z</cp:lastPrinted>
  <dcterms:created xsi:type="dcterms:W3CDTF">2021-06-22T15:59:00Z</dcterms:created>
  <dcterms:modified xsi:type="dcterms:W3CDTF">2024-09-23T01:55:00Z</dcterms:modified>
</cp:coreProperties>
</file>