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广东省涉众型经济案件信访专题分析报告</w:t>
      </w:r>
    </w:p>
    <w:p>
      <w:pPr>
        <w:pStyle w:val="BodyText"/>
      </w:pPr>
      <w:r>
        <w:t xml:space="preserve">一：基本情况</w:t>
      </w:r>
    </w:p>
    <w:p>
      <w:pPr>
        <w:pStyle w:val="BodyText"/>
      </w:pPr>
      <w:r>
        <w:t xml:space="preserve">2020年10月24日至2020年11月23日</w:t>
      </w:r>
      <w:r>
        <w:t xml:space="preserve">，全省信访系统共登记受理涉众型经济案件类信访件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二：信访指标分析</w:t>
      </w:r>
    </w:p>
    <w:p>
      <w:pPr>
        <w:pStyle w:val="BodyText"/>
      </w:pPr>
      <w:r>
        <w:t xml:space="preserve">2020年10月24日至2020年11月23日</w:t>
      </w:r>
      <w:r>
        <w:t xml:space="preserve">，涉众型经济案件类来信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 来访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%； 网上信访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三：信访态势分析</w:t>
      </w:r>
    </w:p>
    <w:p>
      <w:pPr>
        <w:pStyle w:val="BodyText"/>
      </w:pPr>
      <w:r>
        <w:t xml:space="preserve">2020年10月24日至2020年11月23日</w:t>
      </w:r>
      <w:r>
        <w:t xml:space="preserve">，涉众型经济案件类国家件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%，赴省访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%；到市访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%；到区县信访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四：信访秩序分析</w:t>
      </w:r>
    </w:p>
    <w:p>
      <w:pPr>
        <w:pStyle w:val="BodyText"/>
      </w:pPr>
      <w:r>
        <w:t xml:space="preserve">2020年10月24日至2020年11月23日</w:t>
      </w:r>
      <w:r>
        <w:t xml:space="preserve">，涉众型经济案件类集体访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报告生成时间：2020-11-23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2020-11-23T02:11:36Z</dcterms:created>
  <dcterms:modified xsi:type="dcterms:W3CDTF">2020-11-23T02:11:36Z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