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2018年09月10日至2020年10月15日</w:t>
      </w:r>
      <w:r>
        <w:t xml:space="preserve">，全省信访系统共登记受理涉众型经济案件类信访件</w:t>
      </w:r>
      <w:r>
        <w:t xml:space="preserve">12</w:t>
      </w:r>
      <w:r>
        <w:t xml:space="preserve">件次，同比浮动</w:t>
      </w:r>
      <w:r>
        <w:t xml:space="preserve">2.4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2018年09月10日至2020年10月15日</w:t>
      </w:r>
      <w:r>
        <w:t xml:space="preserve">，涉众型经济案件类来信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2018年09月10日至2020年10月15日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2018年09月10日至2020年10月15日</w:t>
      </w:r>
      <w:r>
        <w:t xml:space="preserve">，涉众型经济案件类集体访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报告生成时间：2020-10-10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2020-10-10T06:52:55Z</dcterms:created>
  <dcterms:modified xsi:type="dcterms:W3CDTF">2020-10-10T06:52:55Z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