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2020年08月29日至2020年09月28日</w:t>
      </w:r>
      <w:r>
        <w:t xml:space="preserve">，全省信访系统共登记受理涉众型经济案件类信访件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2020年08月29日至2020年09月28日</w:t>
      </w:r>
      <w:r>
        <w:t xml:space="preserve">，涉众型经济案件类来信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2020年08月29日至2020年09月28日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2020年08月29日至2020年09月28日</w:t>
      </w:r>
      <w:r>
        <w:t xml:space="preserve">，涉众型经济案件类集体访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报告生成时间：2020-09-28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2020-09-28T04:42:15Z</dcterms:created>
  <dcterms:modified xsi:type="dcterms:W3CDTF">2020-09-28T04:42:15Z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