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720"/>
        <w:gridCol w:w="3000"/>
      </w:tblGrid>
      <w:tr>
        <w:tc>
          <w:tcPr>
            <w:tcW w:type="dxa" w:w="6720"/>
            <w:tcBorders>
              <w:top w:val="none" w:color="FFFFFF" w:sz="0"/>
              <w:left w:val="none" w:color="FFFFFF" w:sz="0"/>
              <w:bottom w:val="none" w:color="FFFFFF" w:sz="0"/>
              <w:right w:val="none" w:color="FFFFFF" w:sz="0"/>
            </w:tcBorders>
            <w:shd w:fill="081C2B" w:color="auto" w:val="clear"/>
            <w:tcMar>
              <w:top w:type="dxa" w:w="300"/>
              <w:left w:type="dxa" w:w="340"/>
              <w:bottom w:type="dxa" w:w="280"/>
              <w:right w:type="dxa" w:w="120"/>
            </w:tcMar>
            <w:vAlign w:val="center"/>
          </w:tcPr>
          <w:p>
            <w:pPr>
              <w:spacing w:after="40"/>
            </w:pPr>
            <w:r>
              <w:rPr>
                <w:rFonts w:ascii="Arial" w:cs="Arial" w:eastAsia="Arial" w:hAnsi="Arial"/>
                <w:b/>
                <w:bCs/>
                <w:color w:val="EAA959"/>
                <w:spacing w:val="40"/>
                <w:sz w:val="20"/>
                <w:szCs w:val="20"/>
              </w:rPr>
              <w:t xml:space="preserve">BANCROFT BOXING &amp; GRAPPLING</w:t>
            </w:r>
          </w:p>
          <w:p>
            <w:pPr>
              <w:spacing w:after="60"/>
            </w:pPr>
            <w:r>
              <w:rPr>
                <w:rFonts w:ascii="Arial Black" w:cs="Arial Black" w:eastAsia="Arial Black" w:hAnsi="Arial Black"/>
                <w:b/>
                <w:bCs/>
                <w:color w:val="F4F1EA"/>
                <w:sz w:val="46"/>
                <w:szCs w:val="46"/>
              </w:rPr>
              <w:t xml:space="preserve">FIRST EMPLOYEE BASICS</w:t>
            </w:r>
          </w:p>
          <w:p>
            <w:r>
              <w:rPr>
                <w:rFonts w:ascii="Arial" w:cs="Arial" w:eastAsia="Arial" w:hAnsi="Arial"/>
                <w:color w:val="C9D3DC"/>
                <w:sz w:val="20"/>
                <w:szCs w:val="20"/>
              </w:rPr>
              <w:t xml:space="preserve">What BBG needs in place before its first paid worker (the Canada Summer Jobs student): safety, harassment, posters, pay and WSIB. Drafts for Cody to adjust.</w:t>
            </w:r>
          </w:p>
        </w:tc>
        <w:tc>
          <w:tcPr>
            <w:tcW w:type="dxa" w:w="3000"/>
            <w:tcBorders>
              <w:top w:val="none" w:color="FFFFFF" w:sz="0"/>
              <w:left w:val="none" w:color="FFFFFF" w:sz="0"/>
              <w:bottom w:val="none" w:color="FFFFFF" w:sz="0"/>
              <w:right w:val="none" w:color="FFFFFF" w:sz="0"/>
            </w:tcBorders>
            <w:shd w:fill="081C2B" w:color="auto" w:val="clear"/>
            <w:tcMar>
              <w:top w:type="dxa" w:w="160"/>
              <w:left w:type="dxa" w:w="100"/>
              <w:bottom w:type="dxa" w:w="160"/>
              <w:right w:type="dxa" w:w="260"/>
            </w:tcMar>
            <w:vAlign w:val="center"/>
          </w:tcPr>
          <w:p>
            <w:pPr>
              <w:jc w:val="right"/>
            </w:pPr>
            <w:r>
              <w:drawing>
                <wp:inline distT="0" distB="0" distL="0" distR="0">
                  <wp:extent cx="800100" cy="80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00100" cy="800100"/>
                          </a:xfrm>
                          <a:prstGeom prst="rect">
                            <a:avLst/>
                          </a:prstGeom>
                        </pic:spPr>
                      </pic:pic>
                    </a:graphicData>
                  </a:graphic>
                </wp:inline>
              </w:drawing>
            </w:r>
          </w:p>
        </w:tc>
      </w:tr>
    </w:tbl>
    <w:p>
      <w:pPr>
        <w:spacing w:after="140"/>
      </w:pP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20"/>
      </w:tblGrid>
      <w:tr>
        <w:trPr>
          <w:cantSplit/>
        </w:trPr>
        <w:tc>
          <w:tcPr>
            <w:tcW w:type="dxa" w:w="9720"/>
            <w:tcBorders>
              <w:top w:val="none" w:color="FFFFFF" w:sz="0"/>
              <w:left w:val="single" w:color="C8862E" w:sz="24"/>
              <w:bottom w:val="none" w:color="FFFFFF" w:sz="0"/>
              <w:right w:val="none" w:color="FFFFFF" w:sz="0"/>
            </w:tcBorders>
            <w:shd w:fill="FBEBD3" w:color="auto" w:val="clear"/>
            <w:tcMar>
              <w:top w:type="dxa" w:w="110"/>
              <w:left w:type="dxa" w:w="200"/>
              <w:bottom w:type="dxa" w:w="110"/>
              <w:right w:type="dxa" w:w="160"/>
            </w:tcMar>
          </w:tcPr>
          <w:p>
            <w:pPr>
              <w:spacing w:after="50"/>
            </w:pPr>
            <w:r>
              <w:rPr>
                <w:rFonts w:ascii="Arial" w:cs="Arial" w:eastAsia="Arial" w:hAnsi="Arial"/>
                <w:b/>
                <w:bCs/>
                <w:color w:val="081C2B"/>
                <w:sz w:val="21"/>
                <w:szCs w:val="21"/>
              </w:rPr>
              <w:t xml:space="preserve">The short version</w:t>
            </w:r>
          </w:p>
          <w:p>
            <w:pPr>
              <w:spacing w:after="50"/>
            </w:pPr>
            <w:r>
              <w:rPr>
                <w:rFonts w:ascii="Arial" w:cs="Arial" w:eastAsia="Arial" w:hAnsi="Arial"/>
                <w:sz w:val="20"/>
                <w:szCs w:val="20"/>
              </w:rPr>
              <w:t xml:space="preserve">Canada Summer Jobs asks about three things: health and safety, workers' compensation, and anti-harassment. This covers all three, plus pay and payroll.</w:t>
            </w:r>
          </w:p>
          <w:p>
            <w:pPr>
              <w:spacing w:after="50"/>
            </w:pPr>
            <w:r>
              <w:rPr>
                <w:rFonts w:ascii="Arial" w:cs="Arial" w:eastAsia="Arial" w:hAnsi="Arial"/>
                <w:sz w:val="20"/>
                <w:szCs w:val="20"/>
              </w:rPr>
              <w:t xml:space="preserve">With 5 or fewer workers, Ontario doesn't require the health and safety or violence policies to be written or posted, but the harassment program must be in writing at any size. CSJ asks about all of them, so BBG puts them in writing.</w:t>
            </w:r>
          </w:p>
          <w:p>
            <w:pPr>
              <w:spacing w:after="50"/>
            </w:pPr>
            <w:r>
              <w:rPr>
                <w:rFonts w:ascii="Arial" w:cs="Arial" w:eastAsia="Arial" w:hAnsi="Arial"/>
                <w:sz w:val="20"/>
                <w:szCs w:val="20"/>
              </w:rPr>
              <w:t xml:space="preserve">WSIB: gyms are probably not a mandatory industry (WSIB has to confirm), but CSJ requires the student to be covered by WSIB or equivalent insurance from the first day.</w:t>
            </w:r>
          </w:p>
        </w:tc>
      </w:tr>
    </w:tbl>
    <w:p>
      <w:pPr>
        <w:keepNext/>
        <w:pBdr>
          <w:bottom w:val="single" w:color="C8862E" w:sz="10" w:space="3"/>
        </w:pBdr>
        <w:spacing w:after="20" w:before="280"/>
      </w:pPr>
      <w:r>
        <w:rPr>
          <w:rFonts w:ascii="Arial" w:cs="Arial" w:eastAsia="Arial" w:hAnsi="Arial"/>
          <w:b/>
          <w:bCs/>
          <w:color w:val="081C2B"/>
          <w:spacing w:val="10"/>
          <w:sz w:val="27"/>
          <w:szCs w:val="27"/>
        </w:rPr>
        <w:t xml:space="preserve">1. CHECKLIST</w:t>
      </w:r>
    </w:p>
    <w:p>
      <w:pPr>
        <w:keepNext/>
        <w:spacing w:after="110"/>
      </w:pPr>
      <w:r>
        <w:rPr>
          <w:rFonts w:ascii="Arial" w:cs="Arial" w:eastAsia="Arial" w:hAnsi="Arial"/>
          <w:i/>
          <w:iCs/>
          <w:color w:val="5A6672"/>
          <w:sz w:val="19"/>
          <w:szCs w:val="19"/>
        </w:rPr>
        <w:t xml:space="preserve">Tick these off between now and the student's first day.</w:t>
      </w: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4520"/>
        <w:gridCol w:w="1800"/>
      </w:tblGrid>
      <w:tr>
        <w:trPr>
          <w:cantSplit/>
          <w:tblHeader/>
        </w:trPr>
        <w:tc>
          <w:tcPr>
            <w:tcW w:type="dxa" w:w="3400"/>
            <w:tcBorders>
              <w:top w:val="single" w:color="D7DDE3" w:sz="4"/>
              <w:left w:val="single" w:color="D7DDE3" w:sz="4"/>
              <w:bottom w:val="single" w:color="D7DDE3" w:sz="4"/>
              <w:right w:val="single" w:color="D7DDE3" w:sz="4"/>
            </w:tcBorders>
            <w:shd w:fill="081C2B" w:color="auto" w:val="clear"/>
            <w:tcMar>
              <w:top w:type="dxa" w:w="60"/>
              <w:left w:type="dxa" w:w="110"/>
              <w:bottom w:type="dxa" w:w="60"/>
              <w:right w:type="dxa" w:w="110"/>
            </w:tcMar>
            <w:vAlign w:val="center"/>
          </w:tcPr>
          <w:p>
            <w:pPr>
              <w:spacing w:after="20"/>
            </w:pPr>
            <w:r>
              <w:rPr>
                <w:rFonts w:ascii="Arial" w:cs="Arial" w:eastAsia="Arial" w:hAnsi="Arial"/>
                <w:b/>
                <w:bCs/>
                <w:color w:val="FFFFFF"/>
                <w:sz w:val="18"/>
                <w:szCs w:val="18"/>
              </w:rPr>
              <w:t xml:space="preserve">What</w:t>
            </w:r>
          </w:p>
        </w:tc>
        <w:tc>
          <w:tcPr>
            <w:tcW w:type="dxa" w:w="4520"/>
            <w:tcBorders>
              <w:top w:val="single" w:color="D7DDE3" w:sz="4"/>
              <w:left w:val="single" w:color="D7DDE3" w:sz="4"/>
              <w:bottom w:val="single" w:color="D7DDE3" w:sz="4"/>
              <w:right w:val="single" w:color="D7DDE3" w:sz="4"/>
            </w:tcBorders>
            <w:shd w:fill="081C2B" w:color="auto" w:val="clear"/>
            <w:tcMar>
              <w:top w:type="dxa" w:w="60"/>
              <w:left w:type="dxa" w:w="110"/>
              <w:bottom w:type="dxa" w:w="60"/>
              <w:right w:type="dxa" w:w="110"/>
            </w:tcMar>
            <w:vAlign w:val="center"/>
          </w:tcPr>
          <w:p>
            <w:pPr>
              <w:spacing w:after="20"/>
            </w:pPr>
            <w:r>
              <w:rPr>
                <w:rFonts w:ascii="Arial" w:cs="Arial" w:eastAsia="Arial" w:hAnsi="Arial"/>
                <w:b/>
                <w:bCs/>
                <w:color w:val="FFFFFF"/>
                <w:sz w:val="18"/>
                <w:szCs w:val="18"/>
              </w:rPr>
              <w:t xml:space="preserve">How</w:t>
            </w:r>
          </w:p>
        </w:tc>
        <w:tc>
          <w:tcPr>
            <w:tcW w:type="dxa" w:w="1800"/>
            <w:tcBorders>
              <w:top w:val="single" w:color="D7DDE3" w:sz="4"/>
              <w:left w:val="single" w:color="D7DDE3" w:sz="4"/>
              <w:bottom w:val="single" w:color="D7DDE3" w:sz="4"/>
              <w:right w:val="single" w:color="D7DDE3" w:sz="4"/>
            </w:tcBorders>
            <w:shd w:fill="081C2B" w:color="auto" w:val="clear"/>
            <w:tcMar>
              <w:top w:type="dxa" w:w="60"/>
              <w:left w:type="dxa" w:w="110"/>
              <w:bottom w:type="dxa" w:w="60"/>
              <w:right w:type="dxa" w:w="110"/>
            </w:tcMar>
            <w:vAlign w:val="center"/>
          </w:tcPr>
          <w:p>
            <w:pPr>
              <w:spacing w:after="20"/>
            </w:pPr>
            <w:r>
              <w:rPr>
                <w:rFonts w:ascii="Arial" w:cs="Arial" w:eastAsia="Arial" w:hAnsi="Arial"/>
                <w:b/>
                <w:bCs/>
                <w:color w:val="FFFFFF"/>
                <w:sz w:val="18"/>
                <w:szCs w:val="18"/>
              </w:rPr>
              <w:t xml:space="preserve">When</w:t>
            </w:r>
          </w:p>
        </w:tc>
      </w:tr>
      <w:tr>
        <w:trPr>
          <w:cantSplit/>
          <w:tblHeader w:val="false"/>
        </w:trPr>
        <w:tc>
          <w:tcPr>
            <w:tcW w:type="dxa" w:w="340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CRA payroll account (RP)</w:t>
            </w:r>
          </w:p>
        </w:tc>
        <w:tc>
          <w:tcPr>
            <w:tcW w:type="dxa" w:w="452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CRA's Business Registration Online. The CSJ form asks for the number.</w:t>
            </w:r>
          </w:p>
        </w:tc>
        <w:tc>
          <w:tcPr>
            <w:tcW w:type="dxa" w:w="180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Now (CSJ is open)</w:t>
            </w:r>
          </w:p>
        </w:tc>
      </w:tr>
      <w:tr>
        <w:trPr>
          <w:cantSplit/>
          <w:tblHeader w:val="false"/>
        </w:trPr>
        <w:tc>
          <w:tcPr>
            <w:tcW w:type="dxa" w:w="34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top"/>
          </w:tcPr>
          <w:p>
            <w:pPr>
              <w:spacing w:after="20"/>
            </w:pPr>
            <w:r>
              <w:rPr>
                <w:rFonts w:ascii="Arial" w:cs="Arial" w:eastAsia="Arial" w:hAnsi="Arial"/>
                <w:sz w:val="20"/>
                <w:szCs w:val="20"/>
              </w:rPr>
              <w:t xml:space="preserve">WSIB or equivalent insurance</w:t>
            </w:r>
          </w:p>
        </w:tc>
        <w:tc>
          <w:tcPr>
            <w:tcW w:type="dxa" w:w="452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top"/>
          </w:tcPr>
          <w:p>
            <w:pPr>
              <w:spacing w:after="20"/>
            </w:pPr>
            <w:r>
              <w:rPr>
                <w:rFonts w:ascii="Arial" w:cs="Arial" w:eastAsia="Arial" w:hAnsi="Arial"/>
                <w:sz w:val="20"/>
                <w:szCs w:val="20"/>
              </w:rPr>
              <w:t xml:space="preserve">Call WSIB (1-800-387-0750) to confirm the gym's classification. If it isn't mandatory, apply for optional coverage or confirm BBG's insurance covers the student. If it is mandatory, register within 10 days of hiring. Rough cost: about $45 for an 8-week job at $0.90 per $100 of pay (WSIB sets the real rate).</w:t>
            </w:r>
          </w:p>
        </w:tc>
        <w:tc>
          <w:tcPr>
            <w:tcW w:type="dxa" w:w="18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top"/>
          </w:tcPr>
          <w:p>
            <w:pPr>
              <w:spacing w:after="20"/>
            </w:pPr>
            <w:r>
              <w:rPr>
                <w:rFonts w:ascii="Arial" w:cs="Arial" w:eastAsia="Arial" w:hAnsi="Arial"/>
                <w:sz w:val="20"/>
                <w:szCs w:val="20"/>
              </w:rPr>
              <w:t xml:space="preserve">Before day 1</w:t>
            </w:r>
          </w:p>
        </w:tc>
      </w:tr>
      <w:tr>
        <w:trPr>
          <w:cantSplit/>
          <w:tblHeader w:val="false"/>
        </w:trPr>
        <w:tc>
          <w:tcPr>
            <w:tcW w:type="dxa" w:w="340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Policies and the harassment program</w:t>
            </w:r>
          </w:p>
        </w:tc>
        <w:tc>
          <w:tcPr>
            <w:tcW w:type="dxa" w:w="452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Sign the two drafts below, look at the risk of violence (members or visitors losing their temper), and set a yearly review date.</w:t>
            </w:r>
          </w:p>
        </w:tc>
        <w:tc>
          <w:tcPr>
            <w:tcW w:type="dxa" w:w="180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Before day 1</w:t>
            </w:r>
          </w:p>
        </w:tc>
      </w:tr>
      <w:tr>
        <w:trPr>
          <w:cantSplit/>
          <w:tblHeader w:val="false"/>
        </w:trPr>
        <w:tc>
          <w:tcPr>
            <w:tcW w:type="dxa" w:w="34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top"/>
          </w:tcPr>
          <w:p>
            <w:pPr>
              <w:spacing w:after="20"/>
            </w:pPr>
            <w:r>
              <w:rPr>
                <w:rFonts w:ascii="Arial" w:cs="Arial" w:eastAsia="Arial" w:hAnsi="Arial"/>
                <w:sz w:val="20"/>
                <w:szCs w:val="20"/>
              </w:rPr>
              <w:t xml:space="preserve">Posters</w:t>
            </w:r>
          </w:p>
        </w:tc>
        <w:tc>
          <w:tcPr>
            <w:tcW w:type="dxa" w:w="452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top"/>
          </w:tcPr>
          <w:p>
            <w:pPr>
              <w:spacing w:after="20"/>
            </w:pPr>
            <w:r>
              <w:rPr>
                <w:rFonts w:ascii="Arial" w:cs="Arial" w:eastAsia="Arial" w:hAnsi="Arial"/>
                <w:sz w:val="20"/>
                <w:szCs w:val="20"/>
              </w:rPr>
              <w:t xml:space="preserve">The "Health &amp; Safety at Work: Prevention Starts Here" poster and a copy of the Occupational Health and Safety Act, where workers can see them (ontario.ca, free). Add WSIB's Form 82 if BBG is covered by WSIB.</w:t>
            </w:r>
          </w:p>
        </w:tc>
        <w:tc>
          <w:tcPr>
            <w:tcW w:type="dxa" w:w="18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top"/>
          </w:tcPr>
          <w:p>
            <w:pPr>
              <w:spacing w:after="20"/>
            </w:pPr>
            <w:r>
              <w:rPr>
                <w:rFonts w:ascii="Arial" w:cs="Arial" w:eastAsia="Arial" w:hAnsi="Arial"/>
                <w:sz w:val="20"/>
                <w:szCs w:val="20"/>
              </w:rPr>
              <w:t xml:space="preserve">Before day 1</w:t>
            </w:r>
          </w:p>
        </w:tc>
      </w:tr>
      <w:tr>
        <w:trPr>
          <w:cantSplit/>
          <w:tblHeader w:val="false"/>
        </w:trPr>
        <w:tc>
          <w:tcPr>
            <w:tcW w:type="dxa" w:w="340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Awareness training</w:t>
            </w:r>
          </w:p>
        </w:tc>
        <w:tc>
          <w:tcPr>
            <w:tcW w:type="dxa" w:w="452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The student does Ontario's free Worker Health and Safety Awareness in 4 Steps; Cody does Supervisor Health and Safety Awareness in 5 Steps. 45 to 60 minutes each online. Keep the certificates.</w:t>
            </w:r>
          </w:p>
        </w:tc>
        <w:tc>
          <w:tcPr>
            <w:tcW w:type="dxa" w:w="180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Cody now; student on day 1</w:t>
            </w:r>
          </w:p>
        </w:tc>
      </w:tr>
      <w:tr>
        <w:trPr>
          <w:cantSplit/>
          <w:tblHeader w:val="false"/>
        </w:trPr>
        <w:tc>
          <w:tcPr>
            <w:tcW w:type="dxa" w:w="34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top"/>
          </w:tcPr>
          <w:p>
            <w:pPr>
              <w:spacing w:after="20"/>
            </w:pPr>
            <w:r>
              <w:rPr>
                <w:rFonts w:ascii="Arial" w:cs="Arial" w:eastAsia="Arial" w:hAnsi="Arial"/>
                <w:sz w:val="20"/>
                <w:szCs w:val="20"/>
              </w:rPr>
              <w:t xml:space="preserve">Cleaning products</w:t>
            </w:r>
          </w:p>
        </w:tc>
        <w:tc>
          <w:tcPr>
            <w:tcW w:type="dxa" w:w="452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top"/>
          </w:tcPr>
          <w:p>
            <w:pPr>
              <w:spacing w:after="20"/>
            </w:pPr>
            <w:r>
              <w:rPr>
                <w:rFonts w:ascii="Arial" w:cs="Arial" w:eastAsia="Arial" w:hAnsi="Arial"/>
                <w:sz w:val="20"/>
                <w:szCs w:val="20"/>
              </w:rPr>
              <w:t xml:space="preserve">Workers who use the mat disinfectant or other cleaning chemicals get WHMIS training and know where the safety data sheets are. CSJ lists WHMIS among the safety practices.</w:t>
            </w:r>
          </w:p>
        </w:tc>
        <w:tc>
          <w:tcPr>
            <w:tcW w:type="dxa" w:w="18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top"/>
          </w:tcPr>
          <w:p>
            <w:pPr>
              <w:spacing w:after="20"/>
            </w:pPr>
            <w:r>
              <w:rPr>
                <w:rFonts w:ascii="Arial" w:cs="Arial" w:eastAsia="Arial" w:hAnsi="Arial"/>
                <w:sz w:val="20"/>
                <w:szCs w:val="20"/>
              </w:rPr>
              <w:t xml:space="preserve">Day 1</w:t>
            </w:r>
          </w:p>
        </w:tc>
      </w:tr>
      <w:tr>
        <w:trPr>
          <w:cantSplit/>
          <w:tblHeader w:val="false"/>
        </w:trPr>
        <w:tc>
          <w:tcPr>
            <w:tcW w:type="dxa" w:w="340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First aid</w:t>
            </w:r>
          </w:p>
        </w:tc>
        <w:tc>
          <w:tcPr>
            <w:tcW w:type="dxa" w:w="452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A first aid box with a St. John Ambulance manual, safety pins, 12 adhesive dressings, 4 gauze pads, 2 gauze rolls, 2 field dressings and 1 triangular bandage; someone on site with Basic First Aid; check the box every 3 months and log every treatment.</w:t>
            </w:r>
          </w:p>
        </w:tc>
        <w:tc>
          <w:tcPr>
            <w:tcW w:type="dxa" w:w="180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Before day 1</w:t>
            </w:r>
          </w:p>
        </w:tc>
      </w:tr>
      <w:tr>
        <w:trPr>
          <w:cantSplit/>
          <w:tblHeader w:val="false"/>
        </w:trPr>
        <w:tc>
          <w:tcPr>
            <w:tcW w:type="dxa" w:w="34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top"/>
          </w:tcPr>
          <w:p>
            <w:pPr>
              <w:spacing w:after="20"/>
            </w:pPr>
            <w:r>
              <w:rPr>
                <w:rFonts w:ascii="Arial" w:cs="Arial" w:eastAsia="Arial" w:hAnsi="Arial"/>
                <w:sz w:val="20"/>
                <w:szCs w:val="20"/>
              </w:rPr>
              <w:t xml:space="preserve">Vulnerable sector check</w:t>
            </w:r>
          </w:p>
        </w:tc>
        <w:tc>
          <w:tcPr>
            <w:tcW w:type="dxa" w:w="452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top"/>
          </w:tcPr>
          <w:p>
            <w:pPr>
              <w:spacing w:after="20"/>
            </w:pPr>
            <w:r>
              <w:rPr>
                <w:rFonts w:ascii="Arial" w:cs="Arial" w:eastAsia="Arial" w:hAnsi="Arial"/>
                <w:sz w:val="20"/>
                <w:szCs w:val="20"/>
              </w:rPr>
              <w:t xml:space="preserve">BBG's own rule for anyone working with kids. Ontario doesn't require it for camps today, but the Premier has promised a law.</w:t>
            </w:r>
          </w:p>
        </w:tc>
        <w:tc>
          <w:tcPr>
            <w:tcW w:type="dxa" w:w="18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top"/>
          </w:tcPr>
          <w:p>
            <w:pPr>
              <w:spacing w:after="20"/>
            </w:pPr>
            <w:r>
              <w:rPr>
                <w:rFonts w:ascii="Arial" w:cs="Arial" w:eastAsia="Arial" w:hAnsi="Arial"/>
                <w:sz w:val="20"/>
                <w:szCs w:val="20"/>
              </w:rPr>
              <w:t xml:space="preserve">Before day 1</w:t>
            </w:r>
          </w:p>
        </w:tc>
      </w:tr>
      <w:tr>
        <w:trPr>
          <w:cantSplit/>
          <w:tblHeader w:val="false"/>
        </w:trPr>
        <w:tc>
          <w:tcPr>
            <w:tcW w:type="dxa" w:w="340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Employment standards poster</w:t>
            </w:r>
          </w:p>
        </w:tc>
        <w:tc>
          <w:tcPr>
            <w:tcW w:type="dxa" w:w="452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Give the student a copy of Ontario's Employment Standards poster within 30 days.</w:t>
            </w:r>
          </w:p>
        </w:tc>
        <w:tc>
          <w:tcPr>
            <w:tcW w:type="dxa" w:w="180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First 30 days</w:t>
            </w:r>
          </w:p>
        </w:tc>
      </w:tr>
      <w:tr>
        <w:trPr>
          <w:cantSplit/>
          <w:tblHeader w:val="false"/>
        </w:trPr>
        <w:tc>
          <w:tcPr>
            <w:tcW w:type="dxa" w:w="34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top"/>
          </w:tcPr>
          <w:p>
            <w:pPr>
              <w:spacing w:after="20"/>
            </w:pPr>
            <w:r>
              <w:rPr>
                <w:rFonts w:ascii="Arial" w:cs="Arial" w:eastAsia="Arial" w:hAnsi="Arial"/>
                <w:sz w:val="20"/>
                <w:szCs w:val="20"/>
              </w:rPr>
              <w:t xml:space="preserve">Before the first pay</w:t>
            </w:r>
          </w:p>
        </w:tc>
        <w:tc>
          <w:tcPr>
            <w:tcW w:type="dxa" w:w="452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top"/>
          </w:tcPr>
          <w:p>
            <w:pPr>
              <w:spacing w:after="20"/>
            </w:pPr>
            <w:r>
              <w:rPr>
                <w:rFonts w:ascii="Arial" w:cs="Arial" w:eastAsia="Arial" w:hAnsi="Arial"/>
                <w:sz w:val="20"/>
                <w:szCs w:val="20"/>
              </w:rPr>
              <w:t xml:space="preserve">Collect the SIN and the TD1 federal and Ontario forms. Work out deductions with CRA's Payroll Deductions Online Calculator.</w:t>
            </w:r>
          </w:p>
        </w:tc>
        <w:tc>
          <w:tcPr>
            <w:tcW w:type="dxa" w:w="18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top"/>
          </w:tcPr>
          <w:p>
            <w:pPr>
              <w:spacing w:after="20"/>
            </w:pPr>
            <w:r>
              <w:rPr>
                <w:rFonts w:ascii="Arial" w:cs="Arial" w:eastAsia="Arial" w:hAnsi="Arial"/>
                <w:sz w:val="20"/>
                <w:szCs w:val="20"/>
              </w:rPr>
              <w:t xml:space="preserve">First pay</w:t>
            </w:r>
          </w:p>
        </w:tc>
      </w:tr>
      <w:tr>
        <w:trPr>
          <w:cantSplit/>
          <w:tblHeader w:val="false"/>
        </w:trPr>
        <w:tc>
          <w:tcPr>
            <w:tcW w:type="dxa" w:w="340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Each month</w:t>
            </w:r>
          </w:p>
        </w:tc>
        <w:tc>
          <w:tcPr>
            <w:tcW w:type="dxa" w:w="452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Send the deductions to CRA by the 15th of the next month. T4 slip by Feb 29, 2028.</w:t>
            </w:r>
          </w:p>
        </w:tc>
        <w:tc>
          <w:tcPr>
            <w:tcW w:type="dxa" w:w="180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Monthly</w:t>
            </w:r>
          </w:p>
        </w:tc>
      </w:tr>
      <w:tr>
        <w:trPr>
          <w:cantSplit/>
          <w:tblHeader w:val="false"/>
        </w:trPr>
        <w:tc>
          <w:tcPr>
            <w:tcW w:type="dxa" w:w="34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top"/>
          </w:tcPr>
          <w:p>
            <w:pPr>
              <w:spacing w:after="20"/>
            </w:pPr>
            <w:r>
              <w:rPr>
                <w:rFonts w:ascii="Arial" w:cs="Arial" w:eastAsia="Arial" w:hAnsi="Arial"/>
                <w:sz w:val="20"/>
                <w:szCs w:val="20"/>
              </w:rPr>
              <w:t xml:space="preserve">If the student is hurt</w:t>
            </w:r>
          </w:p>
        </w:tc>
        <w:tc>
          <w:tcPr>
            <w:tcW w:type="dxa" w:w="452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top"/>
          </w:tcPr>
          <w:p>
            <w:pPr>
              <w:spacing w:after="20"/>
            </w:pPr>
            <w:r>
              <w:rPr>
                <w:rFonts w:ascii="Arial" w:cs="Arial" w:eastAsia="Arial" w:hAnsi="Arial"/>
                <w:sz w:val="20"/>
                <w:szCs w:val="20"/>
              </w:rPr>
              <w:t xml:space="preserve">First aid, then tell Cody, tell CSJ in writing, and report to WSIB if BBG is covered.</w:t>
            </w:r>
          </w:p>
        </w:tc>
        <w:tc>
          <w:tcPr>
            <w:tcW w:type="dxa" w:w="180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top"/>
          </w:tcPr>
          <w:p>
            <w:pPr>
              <w:spacing w:after="20"/>
            </w:pPr>
            <w:r>
              <w:rPr>
                <w:rFonts w:ascii="Arial" w:cs="Arial" w:eastAsia="Arial" w:hAnsi="Arial"/>
                <w:sz w:val="20"/>
                <w:szCs w:val="20"/>
              </w:rPr>
              <w:t xml:space="preserve">If it happens</w:t>
            </w:r>
          </w:p>
        </w:tc>
      </w:tr>
    </w:tbl>
    <w:p>
      <w:pPr>
        <w:keepNext/>
        <w:pageBreakBefore/>
        <w:pBdr>
          <w:bottom w:val="single" w:color="C8862E" w:sz="10" w:space="3"/>
        </w:pBdr>
        <w:spacing w:after="20" w:before="280"/>
      </w:pPr>
      <w:r>
        <w:rPr>
          <w:rFonts w:ascii="Arial" w:cs="Arial" w:eastAsia="Arial" w:hAnsi="Arial"/>
          <w:b/>
          <w:bCs/>
          <w:color w:val="081C2B"/>
          <w:spacing w:val="10"/>
          <w:sz w:val="27"/>
          <w:szCs w:val="27"/>
        </w:rPr>
        <w:t xml:space="preserve">2. HEALTH AND SAFETY POLICY</w:t>
      </w:r>
    </w:p>
    <w:p>
      <w:pPr>
        <w:keepNext/>
        <w:spacing w:after="110"/>
      </w:pPr>
      <w:r>
        <w:rPr>
          <w:rFonts w:ascii="Arial" w:cs="Arial" w:eastAsia="Arial" w:hAnsi="Arial"/>
          <w:i/>
          <w:iCs/>
          <w:color w:val="5A6672"/>
          <w:sz w:val="19"/>
          <w:szCs w:val="19"/>
        </w:rPr>
        <w:t xml:space="preserve">Draft. Cody signs and dates it, posts it where staff can see it, and reviews it once a year.</w:t>
      </w: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20"/>
      </w:tblGrid>
      <w:tr>
        <w:trPr>
          <w:cantSplit w:val="false"/>
        </w:trPr>
        <w:tc>
          <w:tcPr>
            <w:tcW w:type="dxa" w:w="9720"/>
            <w:tcBorders>
              <w:top w:val="single" w:color="D7DDE3" w:sz="4"/>
              <w:left w:val="single" w:color="D7DDE3" w:sz="4"/>
              <w:bottom w:val="single" w:color="D7DDE3" w:sz="4"/>
              <w:right w:val="single" w:color="D7DDE3" w:sz="4"/>
            </w:tcBorders>
            <w:tcMar>
              <w:top w:type="dxa" w:w="90"/>
              <w:left w:type="dxa" w:w="160"/>
              <w:bottom w:type="dxa" w:w="90"/>
              <w:right w:type="dxa" w:w="160"/>
            </w:tcMar>
          </w:tcPr>
          <w:p>
            <w:pPr>
              <w:keepNext/>
              <w:spacing w:after="40"/>
            </w:pPr>
            <w:r>
              <w:rPr>
                <w:rFonts w:ascii="Arial" w:cs="Arial" w:eastAsia="Arial" w:hAnsi="Arial"/>
                <w:b/>
                <w:bCs/>
                <w:color w:val="C8862E"/>
                <w:spacing w:val="10"/>
                <w:sz w:val="18"/>
                <w:szCs w:val="18"/>
              </w:rPr>
              <w:t xml:space="preserve">BANCROFT BOXING &amp; GRAPPLING: HEALTH AND SAFETY POLICY</w:t>
            </w:r>
          </w:p>
          <w:p>
            <w:pPr>
              <w:spacing w:after="50"/>
            </w:pPr>
            <w:r>
              <w:rPr>
                <w:rFonts w:ascii="Arial" w:cs="Arial" w:eastAsia="Arial" w:hAnsi="Arial"/>
                <w:sz w:val="20"/>
                <w:szCs w:val="20"/>
              </w:rPr>
              <w:t xml:space="preserve">Bancroft Boxing &amp; Grappling is committed to a safe and healthy workplace for everyone who works, coaches, volunteers and trains here. We follow Ontario's Occupational Health and Safety Act and its regulations.</w:t>
            </w:r>
          </w:p>
          <w:p>
            <w:pPr>
              <w:spacing w:after="50"/>
            </w:pPr>
            <w:r>
              <w:rPr>
                <w:rFonts w:ascii="Arial" w:cs="Arial" w:eastAsia="Arial" w:hAnsi="Arial"/>
                <w:sz w:val="20"/>
                <w:szCs w:val="20"/>
              </w:rPr>
              <w:t xml:space="preserve">Cody Purtell, the owner, is responsible for health and safety: providing training and equipment, fixing hazards, and making sure this policy is followed. Workers and volunteers work safely, follow these rules, wear the equipment required, and report hazards, injuries and near-misses right away.</w:t>
            </w:r>
          </w:p>
          <w:p>
            <w:pPr>
              <w:spacing w:after="50"/>
            </w:pPr>
            <w:r>
              <w:rPr>
                <w:rFonts w:ascii="Arial" w:cs="Arial" w:eastAsia="Arial" w:hAnsi="Arial"/>
                <w:sz w:val="20"/>
                <w:szCs w:val="20"/>
              </w:rPr>
              <w:t xml:space="preserve">Our main hazards and how we control them:</w:t>
            </w:r>
          </w:p>
          <w:p>
            <w:pPr>
              <w:spacing w:after="50"/>
            </w:pPr>
            <w:r>
              <w:rPr>
                <w:rFonts w:ascii="Arial" w:cs="Arial" w:eastAsia="Arial" w:hAnsi="Arial"/>
                <w:sz w:val="20"/>
                <w:szCs w:val="20"/>
              </w:rPr>
              <w:t xml:space="preserve">• Mats and equipment: mats are cleaned and sanitized every day; bags, anchors, pads and ropes are checked weekly and taken out of use if damaged.</w:t>
            </w:r>
          </w:p>
          <w:p>
            <w:pPr>
              <w:spacing w:after="50"/>
            </w:pPr>
            <w:r>
              <w:rPr>
                <w:rFonts w:ascii="Arial" w:cs="Arial" w:eastAsia="Arial" w:hAnsi="Arial"/>
                <w:sz w:val="20"/>
                <w:szCs w:val="20"/>
              </w:rPr>
              <w:t xml:space="preserve">• Slips, trips and lifting: keep floors clear and dry; two people move heavy items like mats and bags.</w:t>
            </w:r>
          </w:p>
          <w:p>
            <w:pPr>
              <w:spacing w:after="50"/>
            </w:pPr>
            <w:r>
              <w:rPr>
                <w:rFonts w:ascii="Arial" w:cs="Arial" w:eastAsia="Arial" w:hAnsi="Arial"/>
                <w:sz w:val="20"/>
                <w:szCs w:val="20"/>
              </w:rPr>
              <w:t xml:space="preserve">• Heat and hydration: water breaks in every session; extra breaks on hot days.</w:t>
            </w:r>
          </w:p>
          <w:p>
            <w:pPr>
              <w:spacing w:after="50"/>
            </w:pPr>
            <w:r>
              <w:rPr>
                <w:rFonts w:ascii="Arial" w:cs="Arial" w:eastAsia="Arial" w:hAnsi="Arial"/>
                <w:sz w:val="20"/>
                <w:szCs w:val="20"/>
              </w:rPr>
              <w:t xml:space="preserve">• Cleaning products: read the label and the safety data sheet; anyone using them has WHMIS training; store them away from children.</w:t>
            </w:r>
          </w:p>
          <w:p>
            <w:pPr>
              <w:spacing w:after="50"/>
            </w:pPr>
            <w:r>
              <w:rPr>
                <w:rFonts w:ascii="Arial" w:cs="Arial" w:eastAsia="Arial" w:hAnsi="Arial"/>
                <w:sz w:val="20"/>
                <w:szCs w:val="20"/>
              </w:rPr>
              <w:t xml:space="preserve">• Head injuries: anyone with signs of a concussion stops for the day and the head-injury steps are followed (Rowan's Law). Cody is the designated person.</w:t>
            </w:r>
          </w:p>
          <w:p>
            <w:pPr>
              <w:spacing w:after="50"/>
            </w:pPr>
            <w:r>
              <w:rPr>
                <w:rFonts w:ascii="Arial" w:cs="Arial" w:eastAsia="Arial" w:hAnsi="Arial"/>
                <w:sz w:val="20"/>
                <w:szCs w:val="20"/>
              </w:rPr>
              <w:t xml:space="preserve">• Working with children: two screened adults with anyone under 18 (Rule of Two); no one alone with a child out of sight.</w:t>
            </w:r>
          </w:p>
          <w:p>
            <w:pPr>
              <w:spacing w:after="50"/>
            </w:pPr>
            <w:r>
              <w:rPr>
                <w:rFonts w:ascii="Arial" w:cs="Arial" w:eastAsia="Arial" w:hAnsi="Arial"/>
                <w:sz w:val="20"/>
                <w:szCs w:val="20"/>
              </w:rPr>
              <w:t xml:space="preserve">• Emergencies: call 911 and give the address, 17 Snow Road, Bancroft. The first aid kit is at </w:t>
            </w:r>
            <w:r>
              <w:rPr>
                <w:rFonts w:ascii="Arial" w:cs="Arial" w:eastAsia="Arial" w:hAnsi="Arial"/>
                <w:sz w:val="20"/>
                <w:szCs w:val="20"/>
                <w:highlight w:val="yellow"/>
                <w:highlightCs w:val="yellow"/>
              </w:rPr>
              <w:t xml:space="preserve">[Cody: where]</w:t>
            </w:r>
            <w:r>
              <w:rPr>
                <w:rFonts w:ascii="Arial" w:cs="Arial" w:eastAsia="Arial" w:hAnsi="Arial"/>
                <w:sz w:val="20"/>
                <w:szCs w:val="20"/>
              </w:rPr>
              <w:t xml:space="preserve">. </w:t>
            </w:r>
            <w:r>
              <w:rPr>
                <w:rFonts w:ascii="Arial" w:cs="Arial" w:eastAsia="Arial" w:hAnsi="Arial"/>
                <w:sz w:val="20"/>
                <w:szCs w:val="20"/>
                <w:highlight w:val="yellow"/>
                <w:highlightCs w:val="yellow"/>
              </w:rPr>
              <w:t xml:space="preserve">[Cody: name]</w:t>
            </w:r>
            <w:r>
              <w:rPr>
                <w:rFonts w:ascii="Arial" w:cs="Arial" w:eastAsia="Arial" w:hAnsi="Arial"/>
                <w:sz w:val="20"/>
                <w:szCs w:val="20"/>
              </w:rPr>
              <w:t xml:space="preserve"> holds current first aid training.</w:t>
            </w:r>
          </w:p>
          <w:p>
            <w:pPr>
              <w:spacing w:after="50"/>
            </w:pPr>
            <w:r>
              <w:rPr>
                <w:rFonts w:ascii="Arial" w:cs="Arial" w:eastAsia="Arial" w:hAnsi="Arial"/>
                <w:sz w:val="20"/>
                <w:szCs w:val="20"/>
              </w:rPr>
              <w:t xml:space="preserve">Every worker completes Ontario's free health and safety awareness training on their first day. Report every injury to Cody the same day; it's recorded and, where required, reported to WSIB.</w:t>
            </w:r>
          </w:p>
          <w:p>
            <w:pPr>
              <w:spacing w:after="50"/>
            </w:pPr>
            <w:r>
              <w:rPr>
                <w:rFonts w:ascii="Arial" w:cs="Arial" w:eastAsia="Arial" w:hAnsi="Arial"/>
                <w:sz w:val="20"/>
                <w:szCs w:val="20"/>
              </w:rPr>
              <w:t xml:space="preserve">Signed: ____________________  Cody Purtell, Owner      Date: ____________   Review by: ____________</w:t>
            </w:r>
          </w:p>
        </w:tc>
      </w:tr>
    </w:tbl>
    <w:p>
      <w:pPr>
        <w:keepNext/>
        <w:pageBreakBefore/>
        <w:pBdr>
          <w:bottom w:val="single" w:color="C8862E" w:sz="10" w:space="3"/>
        </w:pBdr>
        <w:spacing w:after="20" w:before="280"/>
      </w:pPr>
      <w:r>
        <w:rPr>
          <w:rFonts w:ascii="Arial" w:cs="Arial" w:eastAsia="Arial" w:hAnsi="Arial"/>
          <w:b/>
          <w:bCs/>
          <w:color w:val="081C2B"/>
          <w:spacing w:val="10"/>
          <w:sz w:val="27"/>
          <w:szCs w:val="27"/>
        </w:rPr>
        <w:t xml:space="preserve">3. WORKPLACE VIOLENCE AND HARASSMENT POLICY</w:t>
      </w:r>
    </w:p>
    <w:p>
      <w:pPr>
        <w:keepNext/>
        <w:spacing w:after="110"/>
      </w:pPr>
      <w:r>
        <w:rPr>
          <w:rFonts w:ascii="Arial" w:cs="Arial" w:eastAsia="Arial" w:hAnsi="Arial"/>
          <w:i/>
          <w:iCs/>
          <w:color w:val="5A6672"/>
          <w:sz w:val="19"/>
          <w:szCs w:val="19"/>
        </w:rPr>
        <w:t xml:space="preserve">Draft. Ontario requires every employer to have these policies and a written program for harassment. Cody signs, posts and reviews them yearly.</w:t>
      </w: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20"/>
      </w:tblGrid>
      <w:tr>
        <w:trPr>
          <w:cantSplit w:val="false"/>
        </w:trPr>
        <w:tc>
          <w:tcPr>
            <w:tcW w:type="dxa" w:w="9720"/>
            <w:tcBorders>
              <w:top w:val="single" w:color="D7DDE3" w:sz="4"/>
              <w:left w:val="single" w:color="D7DDE3" w:sz="4"/>
              <w:bottom w:val="single" w:color="D7DDE3" w:sz="4"/>
              <w:right w:val="single" w:color="D7DDE3" w:sz="4"/>
            </w:tcBorders>
            <w:tcMar>
              <w:top w:type="dxa" w:w="90"/>
              <w:left w:type="dxa" w:w="160"/>
              <w:bottom w:type="dxa" w:w="90"/>
              <w:right w:type="dxa" w:w="160"/>
            </w:tcMar>
          </w:tcPr>
          <w:p>
            <w:pPr>
              <w:keepNext/>
              <w:spacing w:after="40"/>
            </w:pPr>
            <w:r>
              <w:rPr>
                <w:rFonts w:ascii="Arial" w:cs="Arial" w:eastAsia="Arial" w:hAnsi="Arial"/>
                <w:b/>
                <w:bCs/>
                <w:color w:val="C8862E"/>
                <w:spacing w:val="10"/>
                <w:sz w:val="18"/>
                <w:szCs w:val="18"/>
              </w:rPr>
              <w:t xml:space="preserve">BANCROFT BOXING &amp; GRAPPLING: WORKPLACE VIOLENCE AND HARASSMENT POLICY</w:t>
            </w:r>
          </w:p>
          <w:p>
            <w:pPr>
              <w:spacing w:after="50"/>
            </w:pPr>
            <w:r>
              <w:rPr>
                <w:rFonts w:ascii="Arial" w:cs="Arial" w:eastAsia="Arial" w:hAnsi="Arial"/>
                <w:sz w:val="20"/>
                <w:szCs w:val="20"/>
              </w:rPr>
              <w:t xml:space="preserve">Bancroft Boxing &amp; Grappling does not tolerate workplace violence or workplace harassment, including sexual harassment, from anyone: owner, staff, volunteers, members, parents or visitors. Training and sparring under a coach's rules is sport, not violence; anything outside those rules is not.</w:t>
            </w:r>
          </w:p>
          <w:p>
            <w:pPr>
              <w:spacing w:after="50"/>
            </w:pPr>
            <w:r>
              <w:rPr>
                <w:rFonts w:ascii="Arial" w:cs="Arial" w:eastAsia="Arial" w:hAnsi="Arial"/>
                <w:sz w:val="20"/>
                <w:szCs w:val="20"/>
              </w:rPr>
              <w:t xml:space="preserve">Workplace harassment means a course of comments or conduct against a worker in the workplace that is known, or ought reasonably to be known, to be unwelcome. Workplace sexual harassment includes unwelcome comments or conduct because of sex, sexual orientation, gender identity or gender expression, and unwelcome sexual advances by someone in a position to give or deny a benefit. Reasonable direction from a supervisor is not harassment.</w:t>
            </w:r>
          </w:p>
          <w:p>
            <w:pPr>
              <w:spacing w:after="50"/>
            </w:pPr>
            <w:r>
              <w:rPr>
                <w:rFonts w:ascii="Arial" w:cs="Arial" w:eastAsia="Arial" w:hAnsi="Arial"/>
                <w:sz w:val="20"/>
                <w:szCs w:val="20"/>
              </w:rPr>
              <w:t xml:space="preserve">Workplace violence means physical force, or an attempt or threat of physical force, against a worker in the workplace that causes or could cause injury.</w:t>
            </w:r>
          </w:p>
        </w:tc>
      </w:tr>
    </w:tbl>
    <w:p>
      <w:pPr>
        <w:spacing w:after="40"/>
      </w:pP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20"/>
      </w:tblGrid>
      <w:tr>
        <w:trPr>
          <w:cantSplit w:val="false"/>
        </w:trPr>
        <w:tc>
          <w:tcPr>
            <w:tcW w:type="dxa" w:w="9720"/>
            <w:tcBorders>
              <w:top w:val="single" w:color="D7DDE3" w:sz="4"/>
              <w:left w:val="single" w:color="D7DDE3" w:sz="4"/>
              <w:bottom w:val="single" w:color="D7DDE3" w:sz="4"/>
              <w:right w:val="single" w:color="D7DDE3" w:sz="4"/>
            </w:tcBorders>
            <w:tcMar>
              <w:top w:type="dxa" w:w="90"/>
              <w:left w:type="dxa" w:w="160"/>
              <w:bottom w:type="dxa" w:w="90"/>
              <w:right w:type="dxa" w:w="160"/>
            </w:tcMar>
          </w:tcPr>
          <w:p>
            <w:pPr>
              <w:keepNext/>
              <w:spacing w:after="40"/>
            </w:pPr>
            <w:r>
              <w:rPr>
                <w:rFonts w:ascii="Arial" w:cs="Arial" w:eastAsia="Arial" w:hAnsi="Arial"/>
                <w:b/>
                <w:bCs/>
                <w:color w:val="C8862E"/>
                <w:spacing w:val="10"/>
                <w:sz w:val="18"/>
                <w:szCs w:val="18"/>
              </w:rPr>
              <w:t xml:space="preserve">THE PROGRAM: HOW TO REPORT, HOW WE INVESTIGATE</w:t>
            </w:r>
          </w:p>
          <w:p>
            <w:pPr>
              <w:spacing w:after="50"/>
            </w:pPr>
            <w:r>
              <w:rPr>
                <w:rFonts w:ascii="Arial" w:cs="Arial" w:eastAsia="Arial" w:hAnsi="Arial"/>
                <w:sz w:val="20"/>
                <w:szCs w:val="20"/>
              </w:rPr>
              <w:t xml:space="preserve">How to report: tell Cody Purtell in person, by phone (705-760-0938) or in writing. If the concern is about Cody, report to </w:t>
            </w:r>
            <w:r>
              <w:rPr>
                <w:rFonts w:ascii="Arial" w:cs="Arial" w:eastAsia="Arial" w:hAnsi="Arial"/>
                <w:sz w:val="20"/>
                <w:szCs w:val="20"/>
                <w:highlight w:val="yellow"/>
                <w:highlightCs w:val="yellow"/>
              </w:rPr>
              <w:t xml:space="preserve">[Cody: a named person outside the business, e.g. a trusted adult the worker can reach, with their phone or email]</w:t>
            </w:r>
            <w:r>
              <w:rPr>
                <w:rFonts w:ascii="Arial" w:cs="Arial" w:eastAsia="Arial" w:hAnsi="Arial"/>
                <w:sz w:val="20"/>
                <w:szCs w:val="20"/>
              </w:rPr>
              <w:t xml:space="preserve">.</w:t>
            </w:r>
          </w:p>
          <w:p>
            <w:pPr>
              <w:spacing w:after="50"/>
            </w:pPr>
            <w:r>
              <w:rPr>
                <w:rFonts w:ascii="Arial" w:cs="Arial" w:eastAsia="Arial" w:hAnsi="Arial"/>
                <w:sz w:val="20"/>
                <w:szCs w:val="20"/>
              </w:rPr>
              <w:t xml:space="preserve">Violence or a threat: if anyone is in danger, call 911 first, then tell Cody. Members or visitors who become violent are asked to leave and may lose their membership.</w:t>
            </w:r>
          </w:p>
          <w:p>
            <w:pPr>
              <w:spacing w:after="50"/>
            </w:pPr>
            <w:r>
              <w:rPr>
                <w:rFonts w:ascii="Arial" w:cs="Arial" w:eastAsia="Arial" w:hAnsi="Arial"/>
                <w:sz w:val="20"/>
                <w:szCs w:val="20"/>
              </w:rPr>
              <w:t xml:space="preserve">Investigation: every report is looked into promptly and fairly. The people involved are interviewed and notes are kept. If Cody is involved, the person named above arranges an outside investigator.</w:t>
            </w:r>
          </w:p>
          <w:p>
            <w:pPr>
              <w:spacing w:after="50"/>
            </w:pPr>
            <w:r>
              <w:rPr>
                <w:rFonts w:ascii="Arial" w:cs="Arial" w:eastAsia="Arial" w:hAnsi="Arial"/>
                <w:sz w:val="20"/>
                <w:szCs w:val="20"/>
              </w:rPr>
              <w:t xml:space="preserve">Privacy: information is kept confidential and shared only as needed to investigate, take action, or as the law requires.</w:t>
            </w:r>
          </w:p>
          <w:p>
            <w:pPr>
              <w:spacing w:after="50"/>
            </w:pPr>
            <w:r>
              <w:rPr>
                <w:rFonts w:ascii="Arial" w:cs="Arial" w:eastAsia="Arial" w:hAnsi="Arial"/>
                <w:sz w:val="20"/>
                <w:szCs w:val="20"/>
              </w:rPr>
              <w:t xml:space="preserve">Results: the worker who reported and the person accused are both told the results in writing, and what's being done about it.</w:t>
            </w:r>
          </w:p>
          <w:p>
            <w:pPr>
              <w:spacing w:after="50"/>
            </w:pPr>
            <w:r>
              <w:rPr>
                <w:rFonts w:ascii="Arial" w:cs="Arial" w:eastAsia="Arial" w:hAnsi="Arial"/>
                <w:sz w:val="20"/>
                <w:szCs w:val="20"/>
              </w:rPr>
              <w:t xml:space="preserve">No reprisal: nobody is punished for reporting in good faith or for helping with an investigation.</w:t>
            </w:r>
          </w:p>
          <w:p>
            <w:pPr>
              <w:spacing w:after="50"/>
            </w:pPr>
            <w:r>
              <w:rPr>
                <w:rFonts w:ascii="Arial" w:cs="Arial" w:eastAsia="Arial" w:hAnsi="Arial"/>
                <w:sz w:val="20"/>
                <w:szCs w:val="20"/>
              </w:rPr>
              <w:t xml:space="preserve">This policy and program are reviewed at least once a year, and every worker reads them on their first day.</w:t>
            </w:r>
          </w:p>
          <w:p>
            <w:pPr>
              <w:spacing w:after="50"/>
            </w:pPr>
            <w:r>
              <w:rPr>
                <w:rFonts w:ascii="Arial" w:cs="Arial" w:eastAsia="Arial" w:hAnsi="Arial"/>
                <w:sz w:val="20"/>
                <w:szCs w:val="20"/>
              </w:rPr>
              <w:t xml:space="preserve">Signed: ____________________  Cody Purtell, Owner      Date: ____________   Review by: ____________</w:t>
            </w:r>
          </w:p>
        </w:tc>
      </w:tr>
    </w:tbl>
    <w:p>
      <w:pPr>
        <w:keepNext/>
        <w:pageBreakBefore/>
        <w:pBdr>
          <w:bottom w:val="single" w:color="C8862E" w:sz="10" w:space="3"/>
        </w:pBdr>
        <w:spacing w:after="20" w:before="280"/>
      </w:pPr>
      <w:r>
        <w:rPr>
          <w:rFonts w:ascii="Arial" w:cs="Arial" w:eastAsia="Arial" w:hAnsi="Arial"/>
          <w:b/>
          <w:bCs/>
          <w:color w:val="081C2B"/>
          <w:spacing w:val="10"/>
          <w:sz w:val="27"/>
          <w:szCs w:val="27"/>
        </w:rPr>
        <w:t xml:space="preserve">4. PAY, HOURS AND WSIB</w:t>
      </w:r>
    </w:p>
    <w:p>
      <w:pPr>
        <w:keepNext/>
        <w:spacing w:after="110"/>
      </w:pPr>
      <w:r>
        <w:rPr>
          <w:rFonts w:ascii="Arial" w:cs="Arial" w:eastAsia="Arial" w:hAnsi="Arial"/>
          <w:i/>
          <w:iCs/>
          <w:color w:val="5A6672"/>
          <w:sz w:val="19"/>
          <w:szCs w:val="19"/>
        </w:rPr>
        <w:t xml:space="preserve">What applies to a summer student in Ontario.</w:t>
      </w: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120"/>
      </w:tblGrid>
      <w:tr>
        <w:trPr>
          <w:cantSplit/>
          <w:tblHeader/>
        </w:trPr>
        <w:tc>
          <w:tcPr>
            <w:tcW w:type="dxa" w:w="2600"/>
            <w:tcBorders>
              <w:top w:val="single" w:color="D7DDE3" w:sz="4"/>
              <w:left w:val="single" w:color="D7DDE3" w:sz="4"/>
              <w:bottom w:val="single" w:color="D7DDE3" w:sz="4"/>
              <w:right w:val="single" w:color="D7DDE3" w:sz="4"/>
            </w:tcBorders>
            <w:shd w:fill="081C2B" w:color="auto" w:val="clear"/>
            <w:tcMar>
              <w:top w:type="dxa" w:w="60"/>
              <w:left w:type="dxa" w:w="110"/>
              <w:bottom w:type="dxa" w:w="60"/>
              <w:right w:type="dxa" w:w="110"/>
            </w:tcMar>
            <w:vAlign w:val="center"/>
          </w:tcPr>
          <w:p>
            <w:pPr>
              <w:spacing w:after="20"/>
            </w:pPr>
            <w:r>
              <w:rPr>
                <w:rFonts w:ascii="Arial" w:cs="Arial" w:eastAsia="Arial" w:hAnsi="Arial"/>
                <w:b/>
                <w:bCs/>
                <w:color w:val="FFFFFF"/>
                <w:sz w:val="18"/>
                <w:szCs w:val="18"/>
              </w:rPr>
              <w:t xml:space="preserve">Topic</w:t>
            </w:r>
          </w:p>
        </w:tc>
        <w:tc>
          <w:tcPr>
            <w:tcW w:type="dxa" w:w="7120"/>
            <w:tcBorders>
              <w:top w:val="single" w:color="D7DDE3" w:sz="4"/>
              <w:left w:val="single" w:color="D7DDE3" w:sz="4"/>
              <w:bottom w:val="single" w:color="D7DDE3" w:sz="4"/>
              <w:right w:val="single" w:color="D7DDE3" w:sz="4"/>
            </w:tcBorders>
            <w:shd w:fill="081C2B" w:color="auto" w:val="clear"/>
            <w:tcMar>
              <w:top w:type="dxa" w:w="60"/>
              <w:left w:type="dxa" w:w="110"/>
              <w:bottom w:type="dxa" w:w="60"/>
              <w:right w:type="dxa" w:w="110"/>
            </w:tcMar>
            <w:vAlign w:val="center"/>
          </w:tcPr>
          <w:p>
            <w:pPr>
              <w:spacing w:after="20"/>
            </w:pPr>
            <w:r>
              <w:rPr>
                <w:rFonts w:ascii="Arial" w:cs="Arial" w:eastAsia="Arial" w:hAnsi="Arial"/>
                <w:b/>
                <w:bCs/>
                <w:color w:val="FFFFFF"/>
                <w:sz w:val="18"/>
                <w:szCs w:val="18"/>
              </w:rPr>
              <w:t xml:space="preserve">What applies</w:t>
            </w:r>
          </w:p>
        </w:tc>
      </w:tr>
      <w:tr>
        <w:trPr>
          <w:cantSplit/>
          <w:tblHeader w:val="false"/>
        </w:trPr>
        <w:tc>
          <w:tcPr>
            <w:tcW w:type="dxa" w:w="2600"/>
            <w:tcBorders>
              <w:top w:val="single" w:color="D7DDE3" w:sz="4"/>
              <w:left w:val="single" w:color="D7DDE3" w:sz="4"/>
              <w:bottom w:val="single" w:color="D7DDE3" w:sz="4"/>
              <w:right w:val="single" w:color="D7DDE3" w:sz="4"/>
            </w:tcBorders>
            <w:shd w:fill="FBEBD3" w:color="auto" w:val="clear"/>
            <w:tcMar>
              <w:top w:type="dxa" w:w="60"/>
              <w:left w:type="dxa" w:w="110"/>
              <w:bottom w:type="dxa" w:w="60"/>
              <w:right w:type="dxa" w:w="110"/>
            </w:tcMar>
            <w:vAlign w:val="top"/>
          </w:tcPr>
          <w:p>
            <w:pPr>
              <w:spacing w:after="20"/>
            </w:pPr>
            <w:r>
              <w:rPr>
                <w:rFonts w:ascii="Arial" w:cs="Arial" w:eastAsia="Arial" w:hAnsi="Arial"/>
                <w:b/>
                <w:bCs/>
                <w:sz w:val="19"/>
                <w:szCs w:val="19"/>
              </w:rPr>
              <w:t xml:space="preserve">Minimum wage</w:t>
            </w:r>
          </w:p>
        </w:tc>
        <w:tc>
          <w:tcPr>
            <w:tcW w:type="dxa" w:w="712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$17.95 an hour from Oct 1, 2026 to Sept 30, 2027. The $16.90 student rate only applies to students under 18 working in the summer or on breaks. Paying above minimum scores points with CSJ.</w:t>
            </w:r>
          </w:p>
        </w:tc>
      </w:tr>
      <w:tr>
        <w:trPr>
          <w:cantSplit/>
          <w:tblHeader w:val="false"/>
        </w:trPr>
        <w:tc>
          <w:tcPr>
            <w:tcW w:type="dxa" w:w="2600"/>
            <w:tcBorders>
              <w:top w:val="single" w:color="D7DDE3" w:sz="4"/>
              <w:left w:val="single" w:color="D7DDE3" w:sz="4"/>
              <w:bottom w:val="single" w:color="D7DDE3" w:sz="4"/>
              <w:right w:val="single" w:color="D7DDE3" w:sz="4"/>
            </w:tcBorders>
            <w:shd w:fill="FBEBD3" w:color="auto" w:val="clear"/>
            <w:tcMar>
              <w:top w:type="dxa" w:w="60"/>
              <w:left w:type="dxa" w:w="110"/>
              <w:bottom w:type="dxa" w:w="60"/>
              <w:right w:type="dxa" w:w="110"/>
            </w:tcMar>
            <w:vAlign w:val="top"/>
          </w:tcPr>
          <w:p>
            <w:pPr>
              <w:spacing w:after="20"/>
            </w:pPr>
            <w:r>
              <w:rPr>
                <w:rFonts w:ascii="Arial" w:cs="Arial" w:eastAsia="Arial" w:hAnsi="Arial"/>
                <w:b/>
                <w:bCs/>
                <w:sz w:val="19"/>
                <w:szCs w:val="19"/>
              </w:rPr>
              <w:t xml:space="preserve">Vacation pay</w:t>
            </w:r>
          </w:p>
        </w:tc>
        <w:tc>
          <w:tcPr>
            <w:tcW w:type="dxa" w:w="712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top"/>
          </w:tcPr>
          <w:p>
            <w:pPr>
              <w:spacing w:after="20"/>
            </w:pPr>
            <w:r>
              <w:rPr>
                <w:rFonts w:ascii="Arial" w:cs="Arial" w:eastAsia="Arial" w:hAnsi="Arial"/>
                <w:sz w:val="20"/>
                <w:szCs w:val="20"/>
              </w:rPr>
              <w:t xml:space="preserve">4% of gross wages. It can go on each paycheque if the student agrees in writing; otherwise pay it within 7 days of the job ending or on the next pay day.</w:t>
            </w:r>
          </w:p>
        </w:tc>
      </w:tr>
      <w:tr>
        <w:trPr>
          <w:cantSplit/>
          <w:tblHeader w:val="false"/>
        </w:trPr>
        <w:tc>
          <w:tcPr>
            <w:tcW w:type="dxa" w:w="2600"/>
            <w:tcBorders>
              <w:top w:val="single" w:color="D7DDE3" w:sz="4"/>
              <w:left w:val="single" w:color="D7DDE3" w:sz="4"/>
              <w:bottom w:val="single" w:color="D7DDE3" w:sz="4"/>
              <w:right w:val="single" w:color="D7DDE3" w:sz="4"/>
            </w:tcBorders>
            <w:shd w:fill="FBEBD3" w:color="auto" w:val="clear"/>
            <w:tcMar>
              <w:top w:type="dxa" w:w="60"/>
              <w:left w:type="dxa" w:w="110"/>
              <w:bottom w:type="dxa" w:w="60"/>
              <w:right w:type="dxa" w:w="110"/>
            </w:tcMar>
            <w:vAlign w:val="top"/>
          </w:tcPr>
          <w:p>
            <w:pPr>
              <w:spacing w:after="20"/>
            </w:pPr>
            <w:r>
              <w:rPr>
                <w:rFonts w:ascii="Arial" w:cs="Arial" w:eastAsia="Arial" w:hAnsi="Arial"/>
                <w:b/>
                <w:bCs/>
                <w:sz w:val="19"/>
                <w:szCs w:val="19"/>
              </w:rPr>
              <w:t xml:space="preserve">Public holidays</w:t>
            </w:r>
          </w:p>
        </w:tc>
        <w:tc>
          <w:tcPr>
            <w:tcW w:type="dxa" w:w="712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In July and August only Canada Day (July 1). The Civic Holiday in August is not a public holiday under the Employment Standards Act. Holiday pay is the wages plus vacation pay from the 4 weeks before, divided by 20.</w:t>
            </w:r>
          </w:p>
        </w:tc>
      </w:tr>
      <w:tr>
        <w:trPr>
          <w:cantSplit/>
          <w:tblHeader w:val="false"/>
        </w:trPr>
        <w:tc>
          <w:tcPr>
            <w:tcW w:type="dxa" w:w="2600"/>
            <w:tcBorders>
              <w:top w:val="single" w:color="D7DDE3" w:sz="4"/>
              <w:left w:val="single" w:color="D7DDE3" w:sz="4"/>
              <w:bottom w:val="single" w:color="D7DDE3" w:sz="4"/>
              <w:right w:val="single" w:color="D7DDE3" w:sz="4"/>
            </w:tcBorders>
            <w:shd w:fill="FBEBD3" w:color="auto" w:val="clear"/>
            <w:tcMar>
              <w:top w:type="dxa" w:w="60"/>
              <w:left w:type="dxa" w:w="110"/>
              <w:bottom w:type="dxa" w:w="60"/>
              <w:right w:type="dxa" w:w="110"/>
            </w:tcMar>
            <w:vAlign w:val="top"/>
          </w:tcPr>
          <w:p>
            <w:pPr>
              <w:spacing w:after="20"/>
            </w:pPr>
            <w:r>
              <w:rPr>
                <w:rFonts w:ascii="Arial" w:cs="Arial" w:eastAsia="Arial" w:hAnsi="Arial"/>
                <w:b/>
                <w:bCs/>
                <w:sz w:val="19"/>
                <w:szCs w:val="19"/>
              </w:rPr>
              <w:t xml:space="preserve">Hours and breaks</w:t>
            </w:r>
          </w:p>
        </w:tc>
        <w:tc>
          <w:tcPr>
            <w:tcW w:type="dxa" w:w="712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top"/>
          </w:tcPr>
          <w:p>
            <w:pPr>
              <w:spacing w:after="20"/>
            </w:pPr>
            <w:r>
              <w:rPr>
                <w:rFonts w:ascii="Arial" w:cs="Arial" w:eastAsia="Arial" w:hAnsi="Arial"/>
                <w:sz w:val="20"/>
                <w:szCs w:val="20"/>
              </w:rPr>
              <w:t xml:space="preserve">A 30-minute unpaid eating period after no more than 5 hours in a row. No more than 8 hours a day or 48 a week, and 11 hours off in a row each day.</w:t>
            </w:r>
          </w:p>
        </w:tc>
      </w:tr>
      <w:tr>
        <w:trPr>
          <w:cantSplit/>
          <w:tblHeader w:val="false"/>
        </w:trPr>
        <w:tc>
          <w:tcPr>
            <w:tcW w:type="dxa" w:w="2600"/>
            <w:tcBorders>
              <w:top w:val="single" w:color="D7DDE3" w:sz="4"/>
              <w:left w:val="single" w:color="D7DDE3" w:sz="4"/>
              <w:bottom w:val="single" w:color="D7DDE3" w:sz="4"/>
              <w:right w:val="single" w:color="D7DDE3" w:sz="4"/>
            </w:tcBorders>
            <w:shd w:fill="FBEBD3" w:color="auto" w:val="clear"/>
            <w:tcMar>
              <w:top w:type="dxa" w:w="60"/>
              <w:left w:type="dxa" w:w="110"/>
              <w:bottom w:type="dxa" w:w="60"/>
              <w:right w:type="dxa" w:w="110"/>
            </w:tcMar>
            <w:vAlign w:val="top"/>
          </w:tcPr>
          <w:p>
            <w:pPr>
              <w:spacing w:after="20"/>
            </w:pPr>
            <w:r>
              <w:rPr>
                <w:rFonts w:ascii="Arial" w:cs="Arial" w:eastAsia="Arial" w:hAnsi="Arial"/>
                <w:b/>
                <w:bCs/>
                <w:sz w:val="19"/>
                <w:szCs w:val="19"/>
              </w:rPr>
              <w:t xml:space="preserve">Deductions</w:t>
            </w:r>
          </w:p>
        </w:tc>
        <w:tc>
          <w:tcPr>
            <w:tcW w:type="dxa" w:w="712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Income tax, CPP (only ages 18 to 69; BBG matches it) and EI (any age; BBG pays 1.4 times the employee's share). CRA's online calculator does the math. New employers send deductions monthly.</w:t>
            </w:r>
          </w:p>
        </w:tc>
      </w:tr>
      <w:tr>
        <w:trPr>
          <w:cantSplit/>
          <w:tblHeader w:val="false"/>
        </w:trPr>
        <w:tc>
          <w:tcPr>
            <w:tcW w:type="dxa" w:w="2600"/>
            <w:tcBorders>
              <w:top w:val="single" w:color="D7DDE3" w:sz="4"/>
              <w:left w:val="single" w:color="D7DDE3" w:sz="4"/>
              <w:bottom w:val="single" w:color="D7DDE3" w:sz="4"/>
              <w:right w:val="single" w:color="D7DDE3" w:sz="4"/>
            </w:tcBorders>
            <w:shd w:fill="FBEBD3" w:color="auto" w:val="clear"/>
            <w:tcMar>
              <w:top w:type="dxa" w:w="60"/>
              <w:left w:type="dxa" w:w="110"/>
              <w:bottom w:type="dxa" w:w="60"/>
              <w:right w:type="dxa" w:w="110"/>
            </w:tcMar>
            <w:vAlign w:val="top"/>
          </w:tcPr>
          <w:p>
            <w:pPr>
              <w:spacing w:after="20"/>
            </w:pPr>
            <w:r>
              <w:rPr>
                <w:rFonts w:ascii="Arial" w:cs="Arial" w:eastAsia="Arial" w:hAnsi="Arial"/>
                <w:b/>
                <w:bCs/>
                <w:sz w:val="19"/>
                <w:szCs w:val="19"/>
              </w:rPr>
              <w:t xml:space="preserve">WSIB</w:t>
            </w:r>
          </w:p>
        </w:tc>
        <w:tc>
          <w:tcPr>
            <w:tcW w:type="dxa" w:w="712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top"/>
          </w:tcPr>
          <w:p>
            <w:pPr>
              <w:spacing w:after="20"/>
            </w:pPr>
            <w:r>
              <w:rPr>
                <w:rFonts w:ascii="Arial" w:cs="Arial" w:eastAsia="Arial" w:hAnsi="Arial"/>
                <w:sz w:val="20"/>
                <w:szCs w:val="20"/>
              </w:rPr>
              <w:t xml:space="preserve">Probably optional for a gym; WSIB confirms. CSJ requires WSIB or equivalent insurance from day 1. Premium = insurable pay x rate / 100.</w:t>
            </w:r>
          </w:p>
        </w:tc>
      </w:tr>
      <w:tr>
        <w:trPr>
          <w:cantSplit/>
          <w:tblHeader w:val="false"/>
        </w:trPr>
        <w:tc>
          <w:tcPr>
            <w:tcW w:type="dxa" w:w="2600"/>
            <w:tcBorders>
              <w:top w:val="single" w:color="D7DDE3" w:sz="4"/>
              <w:left w:val="single" w:color="D7DDE3" w:sz="4"/>
              <w:bottom w:val="single" w:color="D7DDE3" w:sz="4"/>
              <w:right w:val="single" w:color="D7DDE3" w:sz="4"/>
            </w:tcBorders>
            <w:shd w:fill="FBEBD3" w:color="auto" w:val="clear"/>
            <w:tcMar>
              <w:top w:type="dxa" w:w="60"/>
              <w:left w:type="dxa" w:w="110"/>
              <w:bottom w:type="dxa" w:w="60"/>
              <w:right w:type="dxa" w:w="110"/>
            </w:tcMar>
            <w:vAlign w:val="top"/>
          </w:tcPr>
          <w:p>
            <w:pPr>
              <w:spacing w:after="20"/>
            </w:pPr>
            <w:r>
              <w:rPr>
                <w:rFonts w:ascii="Arial" w:cs="Arial" w:eastAsia="Arial" w:hAnsi="Arial"/>
                <w:b/>
                <w:bCs/>
                <w:sz w:val="19"/>
                <w:szCs w:val="19"/>
              </w:rPr>
              <w:t xml:space="preserve">Age</w:t>
            </w:r>
          </w:p>
        </w:tc>
        <w:tc>
          <w:tcPr>
            <w:tcW w:type="dxa" w:w="712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CSJ youth are 15 to 30. Nobody under 16 works during school hours.</w:t>
            </w:r>
          </w:p>
        </w:tc>
      </w:tr>
      <w:tr>
        <w:trPr>
          <w:cantSplit/>
          <w:tblHeader w:val="false"/>
        </w:trPr>
        <w:tc>
          <w:tcPr>
            <w:tcW w:type="dxa" w:w="2600"/>
            <w:tcBorders>
              <w:top w:val="single" w:color="D7DDE3" w:sz="4"/>
              <w:left w:val="single" w:color="D7DDE3" w:sz="4"/>
              <w:bottom w:val="single" w:color="D7DDE3" w:sz="4"/>
              <w:right w:val="single" w:color="D7DDE3" w:sz="4"/>
            </w:tcBorders>
            <w:shd w:fill="FBEBD3" w:color="auto" w:val="clear"/>
            <w:tcMar>
              <w:top w:type="dxa" w:w="60"/>
              <w:left w:type="dxa" w:w="110"/>
              <w:bottom w:type="dxa" w:w="60"/>
              <w:right w:type="dxa" w:w="110"/>
            </w:tcMar>
            <w:vAlign w:val="top"/>
          </w:tcPr>
          <w:p>
            <w:pPr>
              <w:spacing w:after="20"/>
            </w:pPr>
            <w:r>
              <w:rPr>
                <w:rFonts w:ascii="Arial" w:cs="Arial" w:eastAsia="Arial" w:hAnsi="Arial"/>
                <w:b/>
                <w:bCs/>
                <w:sz w:val="19"/>
                <w:szCs w:val="19"/>
              </w:rPr>
              <w:t xml:space="preserve">Written job details</w:t>
            </w:r>
          </w:p>
        </w:tc>
        <w:tc>
          <w:tcPr>
            <w:tcW w:type="dxa" w:w="7120"/>
            <w:tcBorders>
              <w:top w:val="single" w:color="D7DDE3" w:sz="4"/>
              <w:left w:val="single" w:color="D7DDE3" w:sz="4"/>
              <w:bottom w:val="single" w:color="D7DDE3" w:sz="4"/>
              <w:right w:val="single" w:color="D7DDE3" w:sz="4"/>
            </w:tcBorders>
            <w:shd w:fill="F2F4F6" w:color="auto" w:val="clear"/>
            <w:tcMar>
              <w:top w:type="dxa" w:w="60"/>
              <w:left w:type="dxa" w:w="110"/>
              <w:bottom w:type="dxa" w:w="60"/>
              <w:right w:type="dxa" w:w="110"/>
            </w:tcMar>
            <w:vAlign w:val="top"/>
          </w:tcPr>
          <w:p>
            <w:pPr>
              <w:spacing w:after="20"/>
            </w:pPr>
            <w:r>
              <w:rPr>
                <w:rFonts w:ascii="Arial" w:cs="Arial" w:eastAsia="Arial" w:hAnsi="Arial"/>
                <w:sz w:val="20"/>
                <w:szCs w:val="20"/>
              </w:rPr>
              <w:t xml:space="preserve">Ontario only requires written new-hire information from employers with 25 or more employees, but a short written offer (wage, hours, dates, duties) avoids misunderstandings.</w:t>
            </w:r>
          </w:p>
        </w:tc>
      </w:tr>
      <w:tr>
        <w:trPr>
          <w:cantSplit/>
          <w:tblHeader w:val="false"/>
        </w:trPr>
        <w:tc>
          <w:tcPr>
            <w:tcW w:type="dxa" w:w="2600"/>
            <w:tcBorders>
              <w:top w:val="single" w:color="D7DDE3" w:sz="4"/>
              <w:left w:val="single" w:color="D7DDE3" w:sz="4"/>
              <w:bottom w:val="single" w:color="D7DDE3" w:sz="4"/>
              <w:right w:val="single" w:color="D7DDE3" w:sz="4"/>
            </w:tcBorders>
            <w:shd w:fill="FBEBD3" w:color="auto" w:val="clear"/>
            <w:tcMar>
              <w:top w:type="dxa" w:w="60"/>
              <w:left w:type="dxa" w:w="110"/>
              <w:bottom w:type="dxa" w:w="60"/>
              <w:right w:type="dxa" w:w="110"/>
            </w:tcMar>
            <w:vAlign w:val="top"/>
          </w:tcPr>
          <w:p>
            <w:pPr>
              <w:spacing w:after="20"/>
            </w:pPr>
            <w:r>
              <w:rPr>
                <w:rFonts w:ascii="Arial" w:cs="Arial" w:eastAsia="Arial" w:hAnsi="Arial"/>
                <w:b/>
                <w:bCs/>
                <w:sz w:val="19"/>
                <w:szCs w:val="19"/>
              </w:rPr>
              <w:t xml:space="preserve">Records</w:t>
            </w:r>
          </w:p>
        </w:tc>
        <w:tc>
          <w:tcPr>
            <w:tcW w:type="dxa" w:w="7120"/>
            <w:tcBorders>
              <w:top w:val="single" w:color="D7DDE3" w:sz="4"/>
              <w:left w:val="single" w:color="D7DDE3" w:sz="4"/>
              <w:bottom w:val="single" w:color="D7DDE3" w:sz="4"/>
              <w:right w:val="single" w:color="D7DDE3" w:sz="4"/>
            </w:tcBorders>
            <w:tcMar>
              <w:top w:type="dxa" w:w="60"/>
              <w:left w:type="dxa" w:w="110"/>
              <w:bottom w:type="dxa" w:w="60"/>
              <w:right w:type="dxa" w:w="110"/>
            </w:tcMar>
            <w:vAlign w:val="top"/>
          </w:tcPr>
          <w:p>
            <w:pPr>
              <w:spacing w:after="20"/>
            </w:pPr>
            <w:r>
              <w:rPr>
                <w:rFonts w:ascii="Arial" w:cs="Arial" w:eastAsia="Arial" w:hAnsi="Arial"/>
                <w:sz w:val="20"/>
                <w:szCs w:val="20"/>
              </w:rPr>
              <w:t xml:space="preserve">Employment records for 3 years (vacation records 5). CSJ records for 6 years after the agreement ends.</w:t>
            </w:r>
          </w:p>
        </w:tc>
      </w:tr>
    </w:tbl>
    <w:p>
      <w:pPr>
        <w:spacing w:after="80"/>
      </w:pPr>
    </w:p>
    <w:p>
      <w:pPr>
        <w:spacing w:after="90"/>
      </w:pPr>
      <w:r>
        <w:rPr>
          <w:rFonts w:ascii="Arial" w:cs="Arial" w:eastAsia="Arial" w:hAnsi="Arial"/>
          <w:i/>
          <w:iCs/>
          <w:color w:val="5A6672"/>
          <w:sz w:val="16"/>
          <w:szCs w:val="16"/>
        </w:rPr>
        <w:t xml:space="preserve">Sources (checked October 20, 2026): ontario.ca: Health and safety for small businesses (Oct 7, 2026); ontario.ca: Posters required in the workplace; ontario.ca: OHSA guide, Part III.0.1 workplace violence and harassment (Aug 17, 2026); ontario.ca: Worker and Supervisor Health and Safety Awareness; wsib.ca: First aid requirements (Jul 22, 2026); How to register (Jul 30, 2026); Optional coverage; 2026 premium rates; Office of the Employer Adviser: WSIB coverage (2021); ontario.ca: Your guide to the Employment Standards Act (minimum wage, vacation, public holidays, hours, records, mandatory information); canada.ca: CRA payroll pages; Canada Summer Jobs applicant guide and agreement (2026). Research, not legal or tax advice: ask WSIB, CRA or a lawyer about anything that matters.</w:t>
      </w:r>
    </w:p>
    <w:sectPr>
      <w:footerReference w:type="default" r:id="rId7"/>
      <w:pgSz w:w="12240" w:h="15840" w:orient="portrait"/>
      <w:pgMar w:top="900" w:right="1260" w:bottom="90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A949E"/>
        <w:sz w:val="16"/>
        <w:szCs w:val="16"/>
      </w:rPr>
      <w:t xml:space="preserve">BBG first employee basics  ·  page </w:t>
    </w:r>
    <w:r>
      <w:rPr>
        <w:rFonts w:ascii="Arial" w:cs="Arial" w:eastAsia="Arial" w:hAnsi="Arial"/>
        <w:color w:val="8A949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00" w:hanging="300"/>
      </w:pPr>
    </w:lvl>
  </w:abstractNum>
  <w:abstractNum w:abstractNumId="4" w15:restartNumberingAfterBreak="0">
    <w:multiLevelType w:val="hybridMultilevel"/>
    <w:lvl w:ilvl="0" w15:tentative="1">
      <w:start w:val="1"/>
      <w:numFmt w:val="decimal"/>
      <w:lvlText w:val="%1."/>
      <w:lvlJc w:val="left"/>
      <w:pPr>
        <w:ind w:left="400" w:hanging="300"/>
      </w:pPr>
    </w:lvl>
  </w:abstractNum>
  <w:abstractNum w:abstractNumId="5" w15:restartNumberingAfterBreak="0">
    <w:multiLevelType w:val="hybridMultilevel"/>
    <w:lvl w:ilvl="0" w15:tentative="1">
      <w:start w:val="1"/>
      <w:numFmt w:val="decimal"/>
      <w:lvlText w:val="%1."/>
      <w:lvlJc w:val="left"/>
      <w:pPr>
        <w:ind w:left="400" w:hanging="300"/>
      </w:pPr>
    </w:lvl>
  </w:abstractNum>
  <w:abstractNum w:abstractNumId="6" w15:restartNumberingAfterBreak="0">
    <w:multiLevelType w:val="hybridMultilevel"/>
    <w:lvl w:ilvl="0" w15:tentative="1">
      <w:start w:val="1"/>
      <w:numFmt w:val="decimal"/>
      <w:lvlText w:val="%1."/>
      <w:lvlJc w:val="left"/>
      <w:pPr>
        <w:ind w:left="400" w:hanging="300"/>
      </w:pPr>
    </w:lvl>
  </w:abstractNum>
  <w:abstractNum w:abstractNumId="7" w15:restartNumberingAfterBreak="0">
    <w:multiLevelType w:val="hybridMultilevel"/>
    <w:lvl w:ilvl="0" w15:tentative="1">
      <w:start w:val="1"/>
      <w:numFmt w:val="decimal"/>
      <w:lvlText w:val="%1."/>
      <w:lvlJc w:val="left"/>
      <w:pPr>
        <w:ind w:left="400" w:hanging="300"/>
      </w:pPr>
    </w:lvl>
  </w:abstractNum>
  <w:abstractNum w:abstractNumId="8"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af8968701b2e7ab64c5891233406269788cba94.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2026-10-27T21:43:07.499Z</dcterms:created>
  <dcterms:modified xsi:type="dcterms:W3CDTF">2026-10-27T21:43:07.499Z</dcterms:modified>
</cp:coreProperties>
</file>

<file path=docProps/custom.xml><?xml version="1.0" encoding="utf-8"?>
<Properties xmlns="http://schemas.openxmlformats.org/officeDocument/2006/custom-properties" xmlns:vt="http://schemas.openxmlformats.org/officeDocument/2006/docPropsVTypes"/>
</file>