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none" w:color="FFFFFF" w:sz="0"/>
              <w:bottom w:val="none" w:color="FFFFFF" w:sz="0"/>
              <w:right w:val="none" w:color="FFFFFF" w:sz="0"/>
            </w:tcBorders>
            <w:shd w:fill="12343B" w:color="auto" w:val="clear"/>
            <w:tcMar>
              <w:top w:type="dxa" w:w="300"/>
              <w:left w:type="dxa" w:w="340"/>
              <w:bottom w:type="dxa" w:w="280"/>
              <w:right w:type="dxa" w:w="120"/>
            </w:tcMar>
            <w:vAlign w:val="center"/>
          </w:tcPr>
          <w:p>
            <w:pPr>
              <w:spacing w:after="40"/>
            </w:pPr>
            <w:r>
              <w:rPr>
                <w:rFonts w:ascii="Arial" w:cs="Arial" w:eastAsia="Arial" w:hAnsi="Arial"/>
                <w:b/>
                <w:bCs/>
                <w:color w:val="F0C38E"/>
                <w:spacing w:val="40"/>
                <w:sz w:val="20"/>
                <w:szCs w:val="20"/>
              </w:rPr>
              <w:t xml:space="preserve">SECOND CHANCE</w:t>
            </w:r>
          </w:p>
          <w:p>
            <w:pPr>
              <w:spacing w:after="60"/>
            </w:pPr>
            <w:r>
              <w:rPr>
                <w:rFonts w:ascii="Arial Black" w:cs="Arial Black" w:eastAsia="Arial Black" w:hAnsi="Arial Black"/>
                <w:b/>
                <w:bCs/>
                <w:color w:val="F4F1EA"/>
                <w:sz w:val="46"/>
                <w:szCs w:val="46"/>
              </w:rPr>
              <w:t xml:space="preserve">POLICY DRAFTS</w:t>
            </w:r>
          </w:p>
          <w:p>
            <w:r>
              <w:rPr>
                <w:rFonts w:ascii="Arial" w:cs="Arial" w:eastAsia="Arial" w:hAnsi="Arial"/>
                <w:color w:val="C9D3DC"/>
                <w:sz w:val="20"/>
                <w:szCs w:val="20"/>
              </w:rPr>
              <w:t xml:space="preserve">Screening, the Rule of Two, privacy and conflict of interest. For the board to adopt after a lawyer reviews them.</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12343B" w:sz="24"/>
              <w:bottom w:val="none" w:color="FFFFFF" w:sz="0"/>
              <w:right w:val="none" w:color="FFFFFF" w:sz="0"/>
            </w:tcBorders>
            <w:shd w:fill="EEF3F3" w:color="auto" w:val="clear"/>
            <w:tcMar>
              <w:top w:type="dxa" w:w="110"/>
              <w:left w:type="dxa" w:w="200"/>
              <w:bottom w:type="dxa" w:w="110"/>
              <w:right w:type="dxa" w:w="160"/>
            </w:tcMar>
          </w:tcPr>
          <w:p>
            <w:pPr>
              <w:spacing w:after="50"/>
            </w:pPr>
            <w:r>
              <w:rPr>
                <w:rFonts w:ascii="Arial" w:cs="Arial" w:eastAsia="Arial" w:hAnsi="Arial"/>
                <w:b/>
                <w:bCs/>
                <w:color w:val="12343B"/>
                <w:sz w:val="21"/>
                <w:szCs w:val="21"/>
              </w:rPr>
              <w:t xml:space="preserve">How to use these</w:t>
            </w:r>
          </w:p>
          <w:p>
            <w:pPr>
              <w:spacing w:after="50"/>
            </w:pPr>
            <w:r>
              <w:rPr>
                <w:rFonts w:ascii="Arial" w:cs="Arial" w:eastAsia="Arial" w:hAnsi="Arial"/>
                <w:sz w:val="20"/>
                <w:szCs w:val="20"/>
              </w:rPr>
              <w:t xml:space="preserve">They're short on purpose: one page each, plain words. The board reads them, a lawyer reviews them, and the board adopts them at its first meeting (the minutes say so).</w:t>
            </w:r>
          </w:p>
          <w:p>
            <w:pPr>
              <w:spacing w:after="50"/>
            </w:pPr>
            <w:r>
              <w:rPr>
                <w:rFonts w:ascii="Arial" w:cs="Arial" w:eastAsia="Arial" w:hAnsi="Arial"/>
                <w:sz w:val="20"/>
                <w:szCs w:val="20"/>
              </w:rPr>
              <w:t xml:space="preserve">Yellow brackets are decisions only the board can make.</w:t>
            </w:r>
          </w:p>
          <w:p>
            <w:pPr>
              <w:spacing w:after="50"/>
            </w:pPr>
            <w:r>
              <w:rPr>
                <w:rFonts w:ascii="Arial" w:cs="Arial" w:eastAsia="Arial" w:hAnsi="Arial"/>
                <w:sz w:val="20"/>
                <w:szCs w:val="20"/>
              </w:rPr>
              <w:t xml:space="preserve">Research, not legal advice. Sources are in the Second Chance Starter Plan.</w:t>
            </w:r>
          </w:p>
        </w:tc>
      </w:tr>
    </w:tbl>
    <w:p>
      <w:pPr>
        <w:keepNext/>
        <w:pBdr>
          <w:bottom w:val="single" w:color="B8732E" w:sz="10" w:space="3"/>
        </w:pBdr>
        <w:spacing w:after="20" w:before="280"/>
      </w:pPr>
      <w:r>
        <w:rPr>
          <w:rFonts w:ascii="Arial" w:cs="Arial" w:eastAsia="Arial" w:hAnsi="Arial"/>
          <w:b/>
          <w:bCs/>
          <w:color w:val="12343B"/>
          <w:spacing w:val="10"/>
          <w:sz w:val="27"/>
          <w:szCs w:val="27"/>
        </w:rPr>
        <w:t xml:space="preserve">1. SCREENING POLICY</w:t>
      </w:r>
    </w:p>
    <w:p>
      <w:pPr>
        <w:keepNext/>
        <w:spacing w:after="110"/>
      </w:pPr>
      <w:r>
        <w:rPr>
          <w:rFonts w:ascii="Arial" w:cs="Arial" w:eastAsia="Arial" w:hAnsi="Arial"/>
          <w:i/>
          <w:iCs/>
          <w:color w:val="5A6672"/>
          <w:sz w:val="19"/>
          <w:szCs w:val="19"/>
        </w:rPr>
        <w:t xml:space="preserve">How Second Chance chooses and checks the people who help run it, and how it decides what a participant can do. Fair to everyone, safe for young people.</w:t>
      </w:r>
    </w:p>
    <w:p>
      <w:pPr>
        <w:keepNext/>
        <w:spacing w:after="60" w:before="160"/>
      </w:pPr>
      <w:r>
        <w:rPr>
          <w:rFonts w:ascii="Arial" w:cs="Arial" w:eastAsia="Arial" w:hAnsi="Arial"/>
          <w:b/>
          <w:bCs/>
          <w:color w:val="B8732E"/>
          <w:sz w:val="22"/>
          <w:szCs w:val="22"/>
        </w:rPr>
        <w:t xml:space="preserve">Who it covers</w:t>
      </w:r>
    </w:p>
    <w:p>
      <w:pPr>
        <w:pStyle w:val="ListParagraph"/>
        <w:numPr>
          <w:ilvl w:val="0"/>
          <w:numId w:val="2"/>
        </w:numPr>
        <w:spacing w:after="45"/>
      </w:pPr>
      <w:r>
        <w:rPr>
          <w:rFonts w:ascii="Arial" w:cs="Arial" w:eastAsia="Arial" w:hAnsi="Arial"/>
          <w:sz w:val="20"/>
          <w:szCs w:val="20"/>
        </w:rPr>
        <w:t xml:space="preserve">Directors, staff, volunteers, mentors, and participants doing a placement or a fight-night role.</w:t>
      </w:r>
    </w:p>
    <w:p>
      <w:pPr>
        <w:keepNext/>
        <w:spacing w:after="60" w:before="160"/>
      </w:pPr>
      <w:r>
        <w:rPr>
          <w:rFonts w:ascii="Arial" w:cs="Arial" w:eastAsia="Arial" w:hAnsi="Arial"/>
          <w:b/>
          <w:bCs/>
          <w:color w:val="B8732E"/>
          <w:sz w:val="22"/>
          <w:szCs w:val="22"/>
        </w:rPr>
        <w:t xml:space="preserve">The steps</w:t>
      </w:r>
    </w:p>
    <w:p>
      <w:pPr>
        <w:pStyle w:val="ListParagraph"/>
        <w:numPr>
          <w:ilvl w:val="0"/>
          <w:numId w:val="2"/>
        </w:numPr>
        <w:spacing w:after="45"/>
      </w:pPr>
      <w:r>
        <w:rPr>
          <w:rFonts w:ascii="Arial" w:cs="Arial" w:eastAsia="Arial" w:hAnsi="Arial"/>
          <w:sz w:val="20"/>
          <w:szCs w:val="20"/>
        </w:rPr>
        <w:t xml:space="preserve">Write down what the role involves and whether it includes anyone under 18 or other vulnerable people.</w:t>
      </w:r>
    </w:p>
    <w:p>
      <w:pPr>
        <w:pStyle w:val="ListParagraph"/>
        <w:numPr>
          <w:ilvl w:val="0"/>
          <w:numId w:val="2"/>
        </w:numPr>
        <w:spacing w:after="45"/>
      </w:pPr>
      <w:r>
        <w:rPr>
          <w:rFonts w:ascii="Arial" w:cs="Arial" w:eastAsia="Arial" w:hAnsi="Arial"/>
          <w:sz w:val="20"/>
          <w:szCs w:val="20"/>
        </w:rPr>
        <w:t xml:space="preserve">Directors, mentors and staff: a short application, an interview, and two references.</w:t>
      </w:r>
    </w:p>
    <w:p>
      <w:pPr>
        <w:pStyle w:val="ListParagraph"/>
        <w:numPr>
          <w:ilvl w:val="0"/>
          <w:numId w:val="2"/>
        </w:numPr>
        <w:spacing w:after="45"/>
      </w:pPr>
      <w:r>
        <w:rPr>
          <w:rFonts w:ascii="Arial" w:cs="Arial" w:eastAsia="Arial" w:hAnsi="Arial"/>
          <w:sz w:val="20"/>
          <w:szCs w:val="20"/>
        </w:rPr>
        <w:t xml:space="preserve">A police check only when the role needs one. A vulnerable sector check is only for roles with trust or authority over people under 18 or other vulnerable people. The OPP lists volunteer checks as free (confirm with the Bancroft detachment).</w:t>
      </w:r>
    </w:p>
    <w:p>
      <w:pPr>
        <w:pStyle w:val="ListParagraph"/>
        <w:numPr>
          <w:ilvl w:val="0"/>
          <w:numId w:val="2"/>
        </w:numPr>
        <w:spacing w:after="45"/>
      </w:pPr>
      <w:r>
        <w:rPr>
          <w:rFonts w:ascii="Arial" w:cs="Arial" w:eastAsia="Arial" w:hAnsi="Arial"/>
          <w:sz w:val="20"/>
          <w:szCs w:val="20"/>
        </w:rPr>
        <w:t xml:space="preserve">The person consents to any check, sees the result first, and decides whether to share it.</w:t>
      </w:r>
    </w:p>
    <w:p>
      <w:pPr>
        <w:pStyle w:val="ListParagraph"/>
        <w:numPr>
          <w:ilvl w:val="0"/>
          <w:numId w:val="2"/>
        </w:numPr>
        <w:spacing w:after="45"/>
      </w:pPr>
      <w:r>
        <w:rPr>
          <w:rFonts w:ascii="Arial" w:cs="Arial" w:eastAsia="Arial" w:hAnsi="Arial"/>
          <w:sz w:val="20"/>
          <w:szCs w:val="20"/>
        </w:rPr>
        <w:t xml:space="preserve">Orientation before starting: these four policies, the Rule of Two, and who to call.</w:t>
      </w:r>
    </w:p>
    <w:p>
      <w:pPr>
        <w:pStyle w:val="ListParagraph"/>
        <w:numPr>
          <w:ilvl w:val="0"/>
          <w:numId w:val="2"/>
        </w:numPr>
        <w:spacing w:after="45"/>
      </w:pPr>
      <w:r>
        <w:rPr>
          <w:rFonts w:ascii="Arial" w:cs="Arial" w:eastAsia="Arial" w:hAnsi="Arial"/>
          <w:sz w:val="20"/>
          <w:szCs w:val="20"/>
        </w:rPr>
        <w:t xml:space="preserve">Check-ins: a mentor or Cody checks in at least once a month. Every role is reviewed once a year.</w:t>
      </w:r>
    </w:p>
    <w:p>
      <w:pPr>
        <w:keepNext/>
        <w:spacing w:after="60" w:before="160"/>
      </w:pPr>
      <w:r>
        <w:rPr>
          <w:rFonts w:ascii="Arial" w:cs="Arial" w:eastAsia="Arial" w:hAnsi="Arial"/>
          <w:b/>
          <w:bCs/>
          <w:color w:val="B8732E"/>
          <w:sz w:val="22"/>
          <w:szCs w:val="22"/>
        </w:rPr>
        <w:t xml:space="preserve">Participants</w:t>
      </w:r>
    </w:p>
    <w:p>
      <w:pPr>
        <w:pStyle w:val="ListParagraph"/>
        <w:numPr>
          <w:ilvl w:val="0"/>
          <w:numId w:val="2"/>
        </w:numPr>
        <w:spacing w:after="45"/>
      </w:pPr>
      <w:r>
        <w:rPr>
          <w:rFonts w:ascii="Arial" w:cs="Arial" w:eastAsia="Arial" w:hAnsi="Arial"/>
          <w:sz w:val="20"/>
          <w:szCs w:val="20"/>
        </w:rPr>
        <w:t xml:space="preserve">Each person is considered one at a time. No blanket bans because someone has a record.</w:t>
      </w:r>
    </w:p>
    <w:p>
      <w:pPr>
        <w:pStyle w:val="ListParagraph"/>
        <w:numPr>
          <w:ilvl w:val="0"/>
          <w:numId w:val="2"/>
        </w:numPr>
        <w:spacing w:after="45"/>
      </w:pPr>
      <w:r>
        <w:rPr>
          <w:rFonts w:ascii="Arial" w:cs="Arial" w:eastAsia="Arial" w:hAnsi="Arial"/>
          <w:sz w:val="20"/>
          <w:szCs w:val="20"/>
        </w:rPr>
        <w:t xml:space="preserve">In jobs, Ontario's Human Rights Code protects people with a pardoned record of offences. Ask a lawyer before treating a record as a reason to say no.</w:t>
      </w:r>
    </w:p>
    <w:p>
      <w:pPr>
        <w:pStyle w:val="ListParagraph"/>
        <w:numPr>
          <w:ilvl w:val="0"/>
          <w:numId w:val="2"/>
        </w:numPr>
        <w:spacing w:after="45"/>
      </w:pPr>
      <w:r>
        <w:rPr>
          <w:rFonts w:ascii="Arial" w:cs="Arial" w:eastAsia="Arial" w:hAnsi="Arial"/>
          <w:sz w:val="20"/>
          <w:szCs w:val="20"/>
        </w:rPr>
        <w:t xml:space="preserve">We record only the date of a check and the outcome as Cleared or Role-limited, plus that written consent is on file. Never what someone was charged with or convicted of.</w:t>
      </w:r>
    </w:p>
    <w:p>
      <w:pPr>
        <w:pStyle w:val="ListParagraph"/>
        <w:numPr>
          <w:ilvl w:val="0"/>
          <w:numId w:val="2"/>
        </w:numPr>
        <w:spacing w:after="45"/>
      </w:pPr>
      <w:r>
        <w:rPr>
          <w:rFonts w:ascii="Arial" w:cs="Arial" w:eastAsia="Arial" w:hAnsi="Arial"/>
          <w:sz w:val="20"/>
          <w:szCs w:val="20"/>
        </w:rPr>
        <w:t xml:space="preserve">Role-limited means no role with young people present, and nothing else is assumed.</w:t>
      </w:r>
    </w:p>
    <w:p>
      <w:pPr>
        <w:keepNext/>
        <w:spacing w:after="60" w:before="160"/>
      </w:pPr>
      <w:r>
        <w:rPr>
          <w:rFonts w:ascii="Arial" w:cs="Arial" w:eastAsia="Arial" w:hAnsi="Arial"/>
          <w:b/>
          <w:bCs/>
          <w:color w:val="B8732E"/>
          <w:sz w:val="22"/>
          <w:szCs w:val="22"/>
        </w:rPr>
        <w:t xml:space="preserve">Who decides</w:t>
      </w:r>
    </w:p>
    <w:p>
      <w:pPr>
        <w:pStyle w:val="ListParagraph"/>
        <w:numPr>
          <w:ilvl w:val="0"/>
          <w:numId w:val="2"/>
        </w:numPr>
        <w:spacing w:after="45"/>
      </w:pPr>
      <w:r>
        <w:rPr>
          <w:rFonts w:ascii="Arial" w:cs="Arial" w:eastAsia="Arial" w:hAnsi="Arial"/>
          <w:sz w:val="20"/>
          <w:szCs w:val="20"/>
        </w:rPr>
        <w:t xml:space="preserve">Two directors together. If a decision involves BBG or CCCL, Cody isn't one of them.</w:t>
      </w:r>
    </w:p>
    <w:p>
      <w:pPr>
        <w:spacing w:after="60"/>
      </w:pPr>
    </w:p>
    <w:p>
      <w:pPr>
        <w:spacing w:after="90"/>
      </w:pPr>
      <w:r>
        <w:rPr>
          <w:rFonts w:ascii="Arial" w:cs="Arial" w:eastAsia="Arial" w:hAnsi="Arial"/>
          <w:i/>
          <w:iCs/>
          <w:color w:val="5A6672"/>
          <w:sz w:val="17"/>
          <w:szCs w:val="17"/>
        </w:rPr>
        <w:t xml:space="preserve">Draft for the Second Chance board and a lawyer to review. Adopted on: [date]   Review by: [date]</w:t>
      </w:r>
    </w:p>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2. RULE OF TWO AND YOUNG PEOPLE POLICY</w:t>
      </w:r>
    </w:p>
    <w:p>
      <w:pPr>
        <w:keepNext/>
        <w:spacing w:after="110"/>
      </w:pPr>
      <w:r>
        <w:rPr>
          <w:rFonts w:ascii="Arial" w:cs="Arial" w:eastAsia="Arial" w:hAnsi="Arial"/>
          <w:i/>
          <w:iCs/>
          <w:color w:val="5A6672"/>
          <w:sz w:val="19"/>
          <w:szCs w:val="19"/>
        </w:rPr>
        <w:t xml:space="preserve">Keeping young people safe whenever Second Chance is in the same place as them, especially at fight nights and the gym.</w:t>
      </w:r>
    </w:p>
    <w:p>
      <w:pPr>
        <w:keepNext/>
        <w:spacing w:after="60" w:before="160"/>
      </w:pPr>
      <w:r>
        <w:rPr>
          <w:rFonts w:ascii="Arial" w:cs="Arial" w:eastAsia="Arial" w:hAnsi="Arial"/>
          <w:b/>
          <w:bCs/>
          <w:color w:val="B8732E"/>
          <w:sz w:val="22"/>
          <w:szCs w:val="22"/>
        </w:rPr>
        <w:t xml:space="preserve">Always</w:t>
      </w:r>
    </w:p>
    <w:p>
      <w:pPr>
        <w:pStyle w:val="ListParagraph"/>
        <w:numPr>
          <w:ilvl w:val="0"/>
          <w:numId w:val="2"/>
        </w:numPr>
        <w:spacing w:after="45"/>
      </w:pPr>
      <w:r>
        <w:rPr>
          <w:rFonts w:ascii="Arial" w:cs="Arial" w:eastAsia="Arial" w:hAnsi="Arial"/>
          <w:sz w:val="20"/>
          <w:szCs w:val="20"/>
        </w:rPr>
        <w:t xml:space="preserve">Two screened adults with anyone under 18, in the open where others can see. Never one adult alone with a young person, out of sight.</w:t>
      </w:r>
    </w:p>
    <w:p>
      <w:pPr>
        <w:pStyle w:val="ListParagraph"/>
        <w:numPr>
          <w:ilvl w:val="0"/>
          <w:numId w:val="2"/>
        </w:numPr>
        <w:spacing w:after="45"/>
      </w:pPr>
      <w:r>
        <w:rPr>
          <w:rFonts w:ascii="Arial" w:cs="Arial" w:eastAsia="Arial" w:hAnsi="Arial"/>
          <w:sz w:val="20"/>
          <w:szCs w:val="20"/>
        </w:rPr>
        <w:t xml:space="preserve">No private messages to anyone under 18. Group messages that include a parent only.</w:t>
      </w:r>
    </w:p>
    <w:p>
      <w:pPr>
        <w:pStyle w:val="ListParagraph"/>
        <w:numPr>
          <w:ilvl w:val="0"/>
          <w:numId w:val="2"/>
        </w:numPr>
        <w:spacing w:after="45"/>
      </w:pPr>
      <w:r>
        <w:rPr>
          <w:rFonts w:ascii="Arial" w:cs="Arial" w:eastAsia="Arial" w:hAnsi="Arial"/>
          <w:sz w:val="20"/>
          <w:szCs w:val="20"/>
        </w:rPr>
        <w:t xml:space="preserve">Participants never have authority over young athletes and are never alone with one.</w:t>
      </w:r>
    </w:p>
    <w:p>
      <w:pPr>
        <w:pStyle w:val="ListParagraph"/>
        <w:numPr>
          <w:ilvl w:val="0"/>
          <w:numId w:val="2"/>
        </w:numPr>
        <w:spacing w:after="45"/>
      </w:pPr>
      <w:r>
        <w:rPr>
          <w:rFonts w:ascii="Arial" w:cs="Arial" w:eastAsia="Arial" w:hAnsi="Arial"/>
          <w:sz w:val="20"/>
          <w:szCs w:val="20"/>
        </w:rPr>
        <w:t xml:space="preserve">Youth warm-up areas and youth athletes' rooms at fight nights are for staff and coaches only.</w:t>
      </w:r>
    </w:p>
    <w:p>
      <w:pPr>
        <w:keepNext/>
        <w:spacing w:after="60" w:before="160"/>
      </w:pPr>
      <w:r>
        <w:rPr>
          <w:rFonts w:ascii="Arial" w:cs="Arial" w:eastAsia="Arial" w:hAnsi="Arial"/>
          <w:b/>
          <w:bCs/>
          <w:color w:val="B8732E"/>
          <w:sz w:val="22"/>
          <w:szCs w:val="22"/>
        </w:rPr>
        <w:t xml:space="preserve">Fight-night roles that fit</w:t>
      </w:r>
    </w:p>
    <w:p>
      <w:pPr>
        <w:pStyle w:val="ListParagraph"/>
        <w:numPr>
          <w:ilvl w:val="0"/>
          <w:numId w:val="2"/>
        </w:numPr>
        <w:spacing w:after="45"/>
      </w:pPr>
      <w:r>
        <w:rPr>
          <w:rFonts w:ascii="Arial" w:cs="Arial" w:eastAsia="Arial" w:hAnsi="Arial"/>
          <w:sz w:val="20"/>
          <w:szCs w:val="20"/>
        </w:rPr>
        <w:t xml:space="preserve">Setup and teardown, chairs and barriers, the merch table with staff, cleanup, runner for the production crew, ticket scanning alongside staff.</w:t>
      </w:r>
    </w:p>
    <w:p>
      <w:pPr>
        <w:keepNext/>
        <w:spacing w:after="60" w:before="160"/>
      </w:pPr>
      <w:r>
        <w:rPr>
          <w:rFonts w:ascii="Arial" w:cs="Arial" w:eastAsia="Arial" w:hAnsi="Arial"/>
          <w:b/>
          <w:bCs/>
          <w:color w:val="B8732E"/>
          <w:sz w:val="22"/>
          <w:szCs w:val="22"/>
        </w:rPr>
        <w:t xml:space="preserve">Not without more</w:t>
      </w:r>
    </w:p>
    <w:p>
      <w:pPr>
        <w:pStyle w:val="ListParagraph"/>
        <w:numPr>
          <w:ilvl w:val="0"/>
          <w:numId w:val="2"/>
        </w:numPr>
        <w:spacing w:after="45"/>
      </w:pPr>
      <w:r>
        <w:rPr>
          <w:rFonts w:ascii="Arial" w:cs="Arial" w:eastAsia="Arial" w:hAnsi="Arial"/>
          <w:sz w:val="20"/>
          <w:szCs w:val="20"/>
        </w:rPr>
        <w:t xml:space="preserve">Any role with youth contact needs a vulnerable sector check that came back Cleared, plus the Rule of Two. Security work needs Ontario's security licensing rules checked first.</w:t>
      </w:r>
    </w:p>
    <w:p>
      <w:pPr>
        <w:keepNext/>
        <w:spacing w:after="60" w:before="160"/>
      </w:pPr>
      <w:r>
        <w:rPr>
          <w:rFonts w:ascii="Arial" w:cs="Arial" w:eastAsia="Arial" w:hAnsi="Arial"/>
          <w:b/>
          <w:bCs/>
          <w:color w:val="B8732E"/>
          <w:sz w:val="22"/>
          <w:szCs w:val="22"/>
        </w:rPr>
        <w:t xml:space="preserve">If something worries you</w:t>
      </w:r>
    </w:p>
    <w:p>
      <w:pPr>
        <w:pStyle w:val="ListParagraph"/>
        <w:numPr>
          <w:ilvl w:val="0"/>
          <w:numId w:val="2"/>
        </w:numPr>
        <w:spacing w:after="45"/>
      </w:pPr>
      <w:r>
        <w:rPr>
          <w:rFonts w:ascii="Arial" w:cs="Arial" w:eastAsia="Arial" w:hAnsi="Arial"/>
          <w:sz w:val="20"/>
          <w:szCs w:val="20"/>
        </w:rPr>
        <w:t xml:space="preserve">Stop it, make everyone safe, and tell Cody and the board chair the same day. Write down what happened (facts only) in the Second Chance folder.</w:t>
      </w:r>
    </w:p>
    <w:p>
      <w:pPr>
        <w:spacing w:after="60"/>
      </w:pPr>
    </w:p>
    <w:p>
      <w:pPr>
        <w:spacing w:after="90"/>
      </w:pPr>
      <w:r>
        <w:rPr>
          <w:rFonts w:ascii="Arial" w:cs="Arial" w:eastAsia="Arial" w:hAnsi="Arial"/>
          <w:i/>
          <w:iCs/>
          <w:color w:val="5A6672"/>
          <w:sz w:val="17"/>
          <w:szCs w:val="17"/>
        </w:rPr>
        <w:t xml:space="preserve">Draft for the Second Chance board and a lawyer to review. Adopted on: [date]   Review by: [date]</w:t>
      </w:r>
    </w:p>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3. PRIVACY POLICY</w:t>
      </w:r>
    </w:p>
    <w:p>
      <w:pPr>
        <w:keepNext/>
        <w:spacing w:after="110"/>
      </w:pPr>
      <w:r>
        <w:rPr>
          <w:rFonts w:ascii="Arial" w:cs="Arial" w:eastAsia="Arial" w:hAnsi="Arial"/>
          <w:i/>
          <w:iCs/>
          <w:color w:val="5A6672"/>
          <w:sz w:val="19"/>
          <w:szCs w:val="19"/>
        </w:rPr>
        <w:t xml:space="preserve">What Second Chance writes down about people, where it's kept, and who sees it. Based on the 10 fair information principles that Canada's privacy law sets out, which nonprofits are encouraged to follow.</w:t>
      </w:r>
    </w:p>
    <w:p>
      <w:pPr>
        <w:keepNext/>
        <w:spacing w:after="60" w:before="160"/>
      </w:pPr>
      <w:r>
        <w:rPr>
          <w:rFonts w:ascii="Arial" w:cs="Arial" w:eastAsia="Arial" w:hAnsi="Arial"/>
          <w:b/>
          <w:bCs/>
          <w:color w:val="B8732E"/>
          <w:sz w:val="22"/>
          <w:szCs w:val="22"/>
        </w:rPr>
        <w:t xml:space="preserve">What we keep</w:t>
      </w:r>
    </w:p>
    <w:p>
      <w:pPr>
        <w:pStyle w:val="ListParagraph"/>
        <w:numPr>
          <w:ilvl w:val="0"/>
          <w:numId w:val="2"/>
        </w:numPr>
        <w:spacing w:after="45"/>
      </w:pPr>
      <w:r>
        <w:rPr>
          <w:rFonts w:ascii="Arial" w:cs="Arial" w:eastAsia="Arial" w:hAnsi="Arial"/>
          <w:sz w:val="20"/>
          <w:szCs w:val="20"/>
        </w:rPr>
        <w:t xml:space="preserve">In the tracker: first name, a code (SC-001), who referred them, stage, consent on file, check date and outcome, roles allowed, placement, mentor's first name, check-in dates.</w:t>
      </w:r>
    </w:p>
    <w:p>
      <w:pPr>
        <w:pStyle w:val="ListParagraph"/>
        <w:numPr>
          <w:ilvl w:val="0"/>
          <w:numId w:val="2"/>
        </w:numPr>
        <w:spacing w:after="45"/>
      </w:pPr>
      <w:r>
        <w:rPr>
          <w:rFonts w:ascii="Arial" w:cs="Arial" w:eastAsia="Arial" w:hAnsi="Arial"/>
          <w:sz w:val="20"/>
          <w:szCs w:val="20"/>
        </w:rPr>
        <w:t xml:space="preserve">Contact details stay in Second Chance's own email contacts, not in the tracker.</w:t>
      </w:r>
    </w:p>
    <w:p>
      <w:pPr>
        <w:keepNext/>
        <w:spacing w:after="60" w:before="160"/>
      </w:pPr>
      <w:r>
        <w:rPr>
          <w:rFonts w:ascii="Arial" w:cs="Arial" w:eastAsia="Arial" w:hAnsi="Arial"/>
          <w:b/>
          <w:bCs/>
          <w:color w:val="B8732E"/>
          <w:sz w:val="22"/>
          <w:szCs w:val="22"/>
        </w:rPr>
        <w:t xml:space="preserve">What we never write down</w:t>
      </w:r>
    </w:p>
    <w:p>
      <w:pPr>
        <w:pStyle w:val="ListParagraph"/>
        <w:numPr>
          <w:ilvl w:val="0"/>
          <w:numId w:val="2"/>
        </w:numPr>
        <w:spacing w:after="45"/>
      </w:pPr>
      <w:r>
        <w:rPr>
          <w:rFonts w:ascii="Arial" w:cs="Arial" w:eastAsia="Arial" w:hAnsi="Arial"/>
          <w:sz w:val="20"/>
          <w:szCs w:val="20"/>
        </w:rPr>
        <w:t xml:space="preserve">What anyone was charged with or convicted of, health details, addresses, or anything about their family.</w:t>
      </w:r>
    </w:p>
    <w:p>
      <w:pPr>
        <w:keepNext/>
        <w:spacing w:after="60" w:before="160"/>
      </w:pPr>
      <w:r>
        <w:rPr>
          <w:rFonts w:ascii="Arial" w:cs="Arial" w:eastAsia="Arial" w:hAnsi="Arial"/>
          <w:b/>
          <w:bCs/>
          <w:color w:val="B8732E"/>
          <w:sz w:val="22"/>
          <w:szCs w:val="22"/>
        </w:rPr>
        <w:t xml:space="preserve">Consent</w:t>
      </w:r>
    </w:p>
    <w:p>
      <w:pPr>
        <w:pStyle w:val="ListParagraph"/>
        <w:numPr>
          <w:ilvl w:val="0"/>
          <w:numId w:val="2"/>
        </w:numPr>
        <w:spacing w:after="45"/>
      </w:pPr>
      <w:r>
        <w:rPr>
          <w:rFonts w:ascii="Arial" w:cs="Arial" w:eastAsia="Arial" w:hAnsi="Arial"/>
          <w:sz w:val="20"/>
          <w:szCs w:val="20"/>
        </w:rPr>
        <w:t xml:space="preserve">Written consent before anything is recorded or shared, saying what and with whom. People can see what we hold about them and ask us to fix it.</w:t>
      </w:r>
    </w:p>
    <w:p>
      <w:pPr>
        <w:keepNext/>
        <w:spacing w:after="60" w:before="160"/>
      </w:pPr>
      <w:r>
        <w:rPr>
          <w:rFonts w:ascii="Arial" w:cs="Arial" w:eastAsia="Arial" w:hAnsi="Arial"/>
          <w:b/>
          <w:bCs/>
          <w:color w:val="B8732E"/>
          <w:sz w:val="22"/>
          <w:szCs w:val="22"/>
        </w:rPr>
        <w:t xml:space="preserve">Who sees it</w:t>
      </w:r>
    </w:p>
    <w:p>
      <w:pPr>
        <w:pStyle w:val="ListParagraph"/>
        <w:numPr>
          <w:ilvl w:val="0"/>
          <w:numId w:val="2"/>
        </w:numPr>
        <w:spacing w:after="45"/>
      </w:pPr>
      <w:r>
        <w:rPr>
          <w:rFonts w:ascii="Arial" w:cs="Arial" w:eastAsia="Arial" w:hAnsi="Arial"/>
          <w:sz w:val="20"/>
          <w:szCs w:val="20"/>
        </w:rPr>
        <w:t xml:space="preserve">Cody and the board. A mentor sees only their own participant's first name and schedule. Never BBG or CCCL staff, and never in a BBG or CCCL file.</w:t>
      </w:r>
    </w:p>
    <w:p>
      <w:pPr>
        <w:keepNext/>
        <w:spacing w:after="60" w:before="160"/>
      </w:pPr>
      <w:r>
        <w:rPr>
          <w:rFonts w:ascii="Arial" w:cs="Arial" w:eastAsia="Arial" w:hAnsi="Arial"/>
          <w:b/>
          <w:bCs/>
          <w:color w:val="B8732E"/>
          <w:sz w:val="22"/>
          <w:szCs w:val="22"/>
        </w:rPr>
        <w:t xml:space="preserve">Where it lives</w:t>
      </w:r>
    </w:p>
    <w:p>
      <w:pPr>
        <w:pStyle w:val="ListParagraph"/>
        <w:numPr>
          <w:ilvl w:val="0"/>
          <w:numId w:val="2"/>
        </w:numPr>
        <w:spacing w:after="45"/>
      </w:pPr>
      <w:r>
        <w:rPr>
          <w:rFonts w:ascii="Arial" w:cs="Arial" w:eastAsia="Arial" w:hAnsi="Arial"/>
          <w:sz w:val="20"/>
          <w:szCs w:val="20"/>
        </w:rPr>
        <w:t xml:space="preserve">Second Chance's own Google Drive folder and email only. No copies on personal phones beyond contacts, and no printouts left out.</w:t>
      </w:r>
    </w:p>
    <w:p>
      <w:pPr>
        <w:keepNext/>
        <w:spacing w:after="60" w:before="160"/>
      </w:pPr>
      <w:r>
        <w:rPr>
          <w:rFonts w:ascii="Arial" w:cs="Arial" w:eastAsia="Arial" w:hAnsi="Arial"/>
          <w:b/>
          <w:bCs/>
          <w:color w:val="B8732E"/>
          <w:sz w:val="22"/>
          <w:szCs w:val="22"/>
        </w:rPr>
        <w:t xml:space="preserve">Sharing</w:t>
      </w:r>
    </w:p>
    <w:p>
      <w:pPr>
        <w:pStyle w:val="ListParagraph"/>
        <w:numPr>
          <w:ilvl w:val="0"/>
          <w:numId w:val="2"/>
        </w:numPr>
        <w:spacing w:after="45"/>
      </w:pPr>
      <w:r>
        <w:rPr>
          <w:rFonts w:ascii="Arial" w:cs="Arial" w:eastAsia="Arial" w:hAnsi="Arial"/>
          <w:sz w:val="20"/>
          <w:szCs w:val="20"/>
        </w:rPr>
        <w:t xml:space="preserve">Only with the person's consent, or where the law requires it. </w:t>
      </w:r>
      <w:r>
        <w:rPr>
          <w:rFonts w:ascii="Arial" w:cs="Arial" w:eastAsia="Arial" w:hAnsi="Arial"/>
          <w:sz w:val="20"/>
          <w:szCs w:val="20"/>
          <w:highlight w:val="yellow"/>
          <w:highlightCs w:val="yellow"/>
        </w:rPr>
        <w:t xml:space="preserve">[Board: ask a lawyer what that covers.]</w:t>
      </w:r>
    </w:p>
    <w:p>
      <w:pPr>
        <w:keepNext/>
        <w:spacing w:after="60" w:before="160"/>
      </w:pPr>
      <w:r>
        <w:rPr>
          <w:rFonts w:ascii="Arial" w:cs="Arial" w:eastAsia="Arial" w:hAnsi="Arial"/>
          <w:b/>
          <w:bCs/>
          <w:color w:val="B8732E"/>
          <w:sz w:val="22"/>
          <w:szCs w:val="22"/>
        </w:rPr>
        <w:t xml:space="preserve">Photos and stories</w:t>
      </w:r>
    </w:p>
    <w:p>
      <w:pPr>
        <w:pStyle w:val="ListParagraph"/>
        <w:numPr>
          <w:ilvl w:val="0"/>
          <w:numId w:val="2"/>
        </w:numPr>
        <w:spacing w:after="45"/>
      </w:pPr>
      <w:r>
        <w:rPr>
          <w:rFonts w:ascii="Arial" w:cs="Arial" w:eastAsia="Arial" w:hAnsi="Arial"/>
          <w:sz w:val="20"/>
          <w:szCs w:val="20"/>
        </w:rPr>
        <w:t xml:space="preserve">Only with written consent for that exact use, first name at most, and never a last name.</w:t>
      </w:r>
    </w:p>
    <w:p>
      <w:pPr>
        <w:keepNext/>
        <w:spacing w:after="60" w:before="160"/>
      </w:pPr>
      <w:r>
        <w:rPr>
          <w:rFonts w:ascii="Arial" w:cs="Arial" w:eastAsia="Arial" w:hAnsi="Arial"/>
          <w:b/>
          <w:bCs/>
          <w:color w:val="B8732E"/>
          <w:sz w:val="22"/>
          <w:szCs w:val="22"/>
        </w:rPr>
        <w:t xml:space="preserve">How long we keep it</w:t>
      </w:r>
    </w:p>
    <w:p>
      <w:pPr>
        <w:pStyle w:val="ListParagraph"/>
        <w:numPr>
          <w:ilvl w:val="0"/>
          <w:numId w:val="2"/>
        </w:numPr>
        <w:spacing w:after="45"/>
      </w:pPr>
      <w:r>
        <w:rPr>
          <w:rFonts w:ascii="Arial" w:cs="Arial" w:eastAsia="Arial" w:hAnsi="Arial"/>
          <w:sz w:val="20"/>
          <w:szCs w:val="20"/>
          <w:highlight w:val="yellow"/>
          <w:highlightCs w:val="yellow"/>
        </w:rPr>
        <w:t xml:space="preserve">[Board: set how long records are kept after someone leaves, then delete them.]</w:t>
      </w:r>
    </w:p>
    <w:p>
      <w:pPr>
        <w:keepNext/>
        <w:spacing w:after="60" w:before="160"/>
      </w:pPr>
      <w:r>
        <w:rPr>
          <w:rFonts w:ascii="Arial" w:cs="Arial" w:eastAsia="Arial" w:hAnsi="Arial"/>
          <w:b/>
          <w:bCs/>
          <w:color w:val="B8732E"/>
          <w:sz w:val="22"/>
          <w:szCs w:val="22"/>
        </w:rPr>
        <w:t xml:space="preserve">If something goes wrong</w:t>
      </w:r>
    </w:p>
    <w:p>
      <w:pPr>
        <w:pStyle w:val="ListParagraph"/>
        <w:numPr>
          <w:ilvl w:val="0"/>
          <w:numId w:val="2"/>
        </w:numPr>
        <w:spacing w:after="45"/>
      </w:pPr>
      <w:r>
        <w:rPr>
          <w:rFonts w:ascii="Arial" w:cs="Arial" w:eastAsia="Arial" w:hAnsi="Arial"/>
          <w:sz w:val="20"/>
          <w:szCs w:val="20"/>
        </w:rPr>
        <w:t xml:space="preserve">If information gets to the wrong person, tell the person affected and the board chair right away, and fix what caused it.</w:t>
      </w:r>
    </w:p>
    <w:p>
      <w:pPr>
        <w:spacing w:after="60"/>
      </w:pPr>
    </w:p>
    <w:p>
      <w:pPr>
        <w:spacing w:after="90"/>
      </w:pPr>
      <w:r>
        <w:rPr>
          <w:rFonts w:ascii="Arial" w:cs="Arial" w:eastAsia="Arial" w:hAnsi="Arial"/>
          <w:i/>
          <w:iCs/>
          <w:color w:val="5A6672"/>
          <w:sz w:val="17"/>
          <w:szCs w:val="17"/>
        </w:rPr>
        <w:t xml:space="preserve">Draft for the Second Chance board and a lawyer to review. Adopted on: [date]   Review by: [date]</w:t>
      </w:r>
    </w:p>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4. CONFLICT OF INTEREST POLICY</w:t>
      </w:r>
    </w:p>
    <w:p>
      <w:pPr>
        <w:keepNext/>
        <w:spacing w:after="110"/>
      </w:pPr>
      <w:r>
        <w:rPr>
          <w:rFonts w:ascii="Arial" w:cs="Arial" w:eastAsia="Arial" w:hAnsi="Arial"/>
          <w:i/>
          <w:iCs/>
          <w:color w:val="5A6672"/>
          <w:sz w:val="19"/>
          <w:szCs w:val="19"/>
        </w:rPr>
        <w:t xml:space="preserve">So decisions are made for Second Chance's purposes, not for anyone's business or family.</w:t>
      </w:r>
    </w:p>
    <w:p>
      <w:pPr>
        <w:keepNext/>
        <w:spacing w:after="60" w:before="160"/>
      </w:pPr>
      <w:r>
        <w:rPr>
          <w:rFonts w:ascii="Arial" w:cs="Arial" w:eastAsia="Arial" w:hAnsi="Arial"/>
          <w:b/>
          <w:bCs/>
          <w:color w:val="B8732E"/>
          <w:sz w:val="22"/>
          <w:szCs w:val="22"/>
        </w:rPr>
        <w:t xml:space="preserve">Declaring</w:t>
      </w:r>
    </w:p>
    <w:p>
      <w:pPr>
        <w:pStyle w:val="ListParagraph"/>
        <w:numPr>
          <w:ilvl w:val="0"/>
          <w:numId w:val="2"/>
        </w:numPr>
        <w:spacing w:after="45"/>
      </w:pPr>
      <w:r>
        <w:rPr>
          <w:rFonts w:ascii="Arial" w:cs="Arial" w:eastAsia="Arial" w:hAnsi="Arial"/>
          <w:sz w:val="20"/>
          <w:szCs w:val="20"/>
        </w:rPr>
        <w:t xml:space="preserve">Every director declares their interests in writing when they join and once a year. Cody declares that he owns BBG and CCCL.</w:t>
      </w:r>
    </w:p>
    <w:p>
      <w:pPr>
        <w:keepNext/>
        <w:spacing w:after="60" w:before="160"/>
      </w:pPr>
      <w:r>
        <w:rPr>
          <w:rFonts w:ascii="Arial" w:cs="Arial" w:eastAsia="Arial" w:hAnsi="Arial"/>
          <w:b/>
          <w:bCs/>
          <w:color w:val="B8732E"/>
          <w:sz w:val="22"/>
          <w:szCs w:val="22"/>
        </w:rPr>
        <w:t xml:space="preserve">At meetings</w:t>
      </w:r>
    </w:p>
    <w:p>
      <w:pPr>
        <w:pStyle w:val="ListParagraph"/>
        <w:numPr>
          <w:ilvl w:val="0"/>
          <w:numId w:val="2"/>
        </w:numPr>
        <w:spacing w:after="45"/>
      </w:pPr>
      <w:r>
        <w:rPr>
          <w:rFonts w:ascii="Arial" w:cs="Arial" w:eastAsia="Arial" w:hAnsi="Arial"/>
          <w:sz w:val="20"/>
          <w:szCs w:val="20"/>
        </w:rPr>
        <w:t xml:space="preserve">A director with a conflict says so, leaves the discussion and doesn't vote. The minutes record it.</w:t>
      </w:r>
    </w:p>
    <w:p>
      <w:pPr>
        <w:keepNext/>
        <w:spacing w:after="60" w:before="160"/>
      </w:pPr>
      <w:r>
        <w:rPr>
          <w:rFonts w:ascii="Arial" w:cs="Arial" w:eastAsia="Arial" w:hAnsi="Arial"/>
          <w:b/>
          <w:bCs/>
          <w:color w:val="B8732E"/>
          <w:sz w:val="22"/>
          <w:szCs w:val="22"/>
        </w:rPr>
        <w:t xml:space="preserve">Money to a director's business</w:t>
      </w:r>
    </w:p>
    <w:p>
      <w:pPr>
        <w:pStyle w:val="ListParagraph"/>
        <w:numPr>
          <w:ilvl w:val="0"/>
          <w:numId w:val="2"/>
        </w:numPr>
        <w:spacing w:after="45"/>
      </w:pPr>
      <w:r>
        <w:rPr>
          <w:rFonts w:ascii="Arial" w:cs="Arial" w:eastAsia="Arial" w:hAnsi="Arial"/>
          <w:sz w:val="20"/>
          <w:szCs w:val="20"/>
        </w:rPr>
        <w:t xml:space="preserve">Any payment to BBG, CCCL or another director's business (gym time, event fees, supplies) needs approval from the other directors, and Ontario has extra rules for charities paying a director's business. Ask a lawyer before any such payment.</w:t>
      </w:r>
    </w:p>
    <w:p>
      <w:pPr>
        <w:keepNext/>
        <w:spacing w:after="60" w:before="160"/>
      </w:pPr>
      <w:r>
        <w:rPr>
          <w:rFonts w:ascii="Arial" w:cs="Arial" w:eastAsia="Arial" w:hAnsi="Arial"/>
          <w:b/>
          <w:bCs/>
          <w:color w:val="B8732E"/>
          <w:sz w:val="22"/>
          <w:szCs w:val="22"/>
        </w:rPr>
        <w:t xml:space="preserve">Placements</w:t>
      </w:r>
    </w:p>
    <w:p>
      <w:pPr>
        <w:pStyle w:val="ListParagraph"/>
        <w:numPr>
          <w:ilvl w:val="0"/>
          <w:numId w:val="2"/>
        </w:numPr>
        <w:spacing w:after="45"/>
      </w:pPr>
      <w:r>
        <w:rPr>
          <w:rFonts w:ascii="Arial" w:cs="Arial" w:eastAsia="Arial" w:hAnsi="Arial"/>
          <w:sz w:val="20"/>
          <w:szCs w:val="20"/>
        </w:rPr>
        <w:t xml:space="preserve">CCCL fight nights can be one placement among several, never the only one. Training must build skills people can use with any employer.</w:t>
      </w:r>
    </w:p>
    <w:p>
      <w:pPr>
        <w:keepNext/>
        <w:spacing w:after="60" w:before="160"/>
      </w:pPr>
      <w:r>
        <w:rPr>
          <w:rFonts w:ascii="Arial" w:cs="Arial" w:eastAsia="Arial" w:hAnsi="Arial"/>
          <w:b/>
          <w:bCs/>
          <w:color w:val="B8732E"/>
          <w:sz w:val="22"/>
          <w:szCs w:val="22"/>
        </w:rPr>
        <w:t xml:space="preserve">No private benefit</w:t>
      </w:r>
    </w:p>
    <w:p>
      <w:pPr>
        <w:pStyle w:val="ListParagraph"/>
        <w:numPr>
          <w:ilvl w:val="0"/>
          <w:numId w:val="2"/>
        </w:numPr>
        <w:spacing w:after="45"/>
      </w:pPr>
      <w:r>
        <w:rPr>
          <w:rFonts w:ascii="Arial" w:cs="Arial" w:eastAsia="Arial" w:hAnsi="Arial"/>
          <w:sz w:val="20"/>
          <w:szCs w:val="20"/>
        </w:rPr>
        <w:t xml:space="preserve">Nobody gets a personal benefit from Second Chance beyond something small and incidental.</w:t>
      </w:r>
    </w:p>
    <w:p>
      <w:pPr>
        <w:spacing w:after="60"/>
      </w:pPr>
    </w:p>
    <w:p>
      <w:pPr>
        <w:spacing w:after="90"/>
      </w:pPr>
      <w:r>
        <w:rPr>
          <w:rFonts w:ascii="Arial" w:cs="Arial" w:eastAsia="Arial" w:hAnsi="Arial"/>
          <w:i/>
          <w:iCs/>
          <w:color w:val="5A6672"/>
          <w:sz w:val="17"/>
          <w:szCs w:val="17"/>
        </w:rPr>
        <w:t xml:space="preserve">Draft for the Second Chance board and a lawyer to review. Adopted on: [date]   Review by: [date]</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Second Chance policy drafts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2026-10-21T03:25:35.874Z</dcterms:created>
  <dcterms:modified xsi:type="dcterms:W3CDTF">2026-10-21T03:25:35.875Z</dcterms:modified>
</cp:coreProperties>
</file>

<file path=docProps/custom.xml><?xml version="1.0" encoding="utf-8"?>
<Properties xmlns="http://schemas.openxmlformats.org/officeDocument/2006/custom-properties" xmlns:vt="http://schemas.openxmlformats.org/officeDocument/2006/docPropsVTypes"/>
</file>