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6F187CE7" w14:textId="77777777" w:rsidR="00742ED4" w:rsidRDefault="00742ED4" w:rsidP="00742ED4">
      <w:r>
        <w:t>20261007</w:t>
      </w:r>
    </w:p>
    <w:p w14:paraId="197C6A10" w14:textId="77777777" w:rsidR="00742ED4" w:rsidRDefault="00742ED4" w:rsidP="00742ED4">
      <w:pPr>
        <w:pStyle w:val="ListParagraph"/>
        <w:numPr>
          <w:ilvl w:val="0"/>
          <w:numId w:val="5"/>
        </w:numPr>
      </w:pPr>
      <w:r>
        <w:t>Rebuilt the table of contents to match the section numbers and pages. Firmware references updated to 0.3.11. Dynamic range is now -90 to 0 dBm for Mode S and 87 dB for UAT.</w:t>
      </w:r>
    </w:p>
    <w:p w14:paraId="6F187CE8" w14:textId="77777777" w:rsidR="00742ED4" w:rsidRDefault="00742ED4" w:rsidP="00742ED4">
      <w:pPr>
        <w:keepNext/>
      </w:pPr>
      <w:r>
        <w:t>20261013</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