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Minimum</w:t>
            </w:r>
            <w:r w:rsidR="00386258">
              <w:t xml:space="preserve"> RF Input Power Level</w:t>
            </w:r>
          </w:p>
        </w:tc>
        <w:tc>
          <w:tcPr>
            <w:tcW w:w="3168" w:type="dxa"/>
          </w:tcPr>
          <w:p w14:paraId="67E3EE50" w14:textId="77777777" w:rsidR="00516292" w:rsidRDefault="00386258" w:rsidP="00516292">
            <w:r>
              <w:t>-</w:t>
            </w:r>
            <w:r w:rsidR="00B311EB">
              <w:t>85</w:t>
            </w:r>
            <w:r>
              <w:t>dBm</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pPr>
            <w:pStyle w:val="TOC1"/>
            <w:rPr>
              <w:rFonts w:eastAsiaTheme="minorEastAsia" w:hint="eastAsia"/>
              <w:noProof/>
              <w:sz w:val="24"/>
              <w:szCs w:val="24"/>
              <w:lang w:eastAsia="zh-CN"/>
            </w:rPr>
          </w:pPr>
          <w:hyperlink w:anchor="_Toc242110620" w:history="1">
            <w:r w:rsidRPr="00D24399">
              <w:rPr>
                <w:rStyle w:val="Hyperlink"/>
                <w:noProof/>
              </w:rPr>
              <w:t>Safety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_Toc242110620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4.1</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10</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4.1.1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10</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4.1.2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10</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4.2</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4.2.1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4.2.2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4.3</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11</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4.4</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12</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4.5</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12</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4.6</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13</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4.6.1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13</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4.6.2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13</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4.7</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13</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4.8</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13</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4.8.1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13</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4.8.2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14</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4.9</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14</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4.9.1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14</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4.9.2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15</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4.9.3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15</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4.10</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15</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4.10.1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15</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4.10.2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15</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4.11</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16</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4.11.1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16</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4.11.2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16</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4.12</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16</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4.12.1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16</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4.12.2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16</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4.13</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17</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4.14</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17</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4.14.1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17</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4.14.2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17</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4.15</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18</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4.16</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19</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4.16.1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19</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4.16.2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19</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4.17</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20</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4.17.1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20</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4.17.2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20</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4.18</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20</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4.19</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21</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4.19.1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21</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4.19.2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21</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4.20</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21</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4.21</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22</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4.21.1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22</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4.21.2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22</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4.22</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23</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4.22.1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23</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4.22.2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24</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4.23</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25</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4.23.1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25</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4.23.2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26</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4.23.3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26</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4.23.4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26</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4.23.5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26</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4.24</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27</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4.24.1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27</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4.24.2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27</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4.25</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27</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4.26</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28</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4.27</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28</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4.27.1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28</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4.27.2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28</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4.28</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29</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4.29</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29</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4.29.1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29</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4.29.2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29</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4.29.3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29</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4.30</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30</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4.30.1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30</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4.30.2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30</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4.31</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31</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4.31.1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31</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4.31.2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31</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32</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5.1</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33</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5.1.1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33</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5.1.2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34</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5.1.3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41</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5.1.4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45</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5.2</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46</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5.3</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47</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5.3.1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47</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5.3.2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47</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5.3.3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48</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5.3.4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48</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5.4</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49</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5.4.1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49</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5.4.2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49</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5.5</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50</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5.5.1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50</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5.5.2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50</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5.5.3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51</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5.6</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52</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5.6.1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52</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5.6.2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53</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20261013</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pPr>
        <w:pStyle w:val="Heading1"/>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4.1.1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18, 1340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4.6.1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4.19.1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0-3300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defaults to 200.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200mV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5.1.2.3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5.1.2.4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5.1.3.1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5.1.3.2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5.1.2.3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5.1.2.4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5.1.2.5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UAT non-ICAO addresses (self-assigned or TIS-B track file)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adsr_icao (non-transponder), adsb_icao_nt (Class B ground vehicle). UAT: adsb_icao, adsb_other, tisb_icao, tisb_trackfile.</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w:t>
    </w:r>
    <w:r w:rsidR="00DF1E09">
      <w:rPr>
        <w:color w:val="FFFFFF" w:themeColor="background1"/>
      </w:rPr>
      <w:t>1013</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