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20261023</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14:paraId="2F3F0D66" w14:textId="77777777" w:rsidR="00A32D31" w:rsidRDefault="00000000">
      <w:pPr>
        <w:pStyle w:val="ListParagraph"/>
        <w:numPr>
          <w:ilvl w:val="0"/>
          <w:numId w:val="10"/>
        </w:numPr>
      </w:pPr>
      <w:r>
        <w:t>Corrected the Aircraft JSON type and hex fields for DF18 (TIS-B, ADS-R) and non-ICAO targets.</w:t>
      </w:r>
    </w:p>
    <w:p w14:paraId="16025DEF" w14:textId="77777777" w:rsidR="00A32D31" w:rsidRDefault="00000000">
      <w:pPr>
        <w:pStyle w:val="ListParagraph"/>
        <w:numPr>
          <w:ilvl w:val="0"/>
          <w:numId w:val="10"/>
        </w:numPr>
      </w:pPr>
      <w:r>
        <w:t>Aircraft JSON on_ground, ASTERIX ground bit and GDL90 airborne flag: ADS-B position and velocity messages decide; Mode S replies only when no ADS-B one has arrived for 30 s, and never on the ground above 18,000 ft.</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Non-ICAO addresses (adsb_other, tisb_trackfile, tisb_other, adsr_other)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 1090 MHz: from ADS-B; from Mode S replies only after 30 s without ADS-B, and never above 18,000 ft.</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20261023</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