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4B3A" w:rsidRPr="00AE567F" w:rsidRDefault="00655228" w:rsidP="00AE567F">
      <w:pPr>
        <w:pStyle w:val="Title"/>
      </w:pPr>
      <w:r>
        <w:t>Simple HDR</w:t>
      </w:r>
      <w:r w:rsidR="00F70459">
        <w:t xml:space="preserve"> Sample</w:t>
      </w:r>
      <w:r w:rsidR="00F10540">
        <w:t xml:space="preserve"> (DirectX 11)</w:t>
      </w:r>
    </w:p>
    <w:p w:rsidR="00971E0B" w:rsidRDefault="00971E0B" w:rsidP="00971E0B">
      <w:pPr>
        <w:rPr>
          <w:i/>
        </w:rPr>
      </w:pPr>
      <w:bookmarkStart w:id="0" w:name="_Hlk494729398"/>
      <w:r>
        <w:rPr>
          <w:i/>
        </w:rPr>
        <w:t>This sample is compatible with the Windows 10 Creators Update SDK (15063)</w:t>
      </w:r>
      <w:bookmarkEnd w:id="0"/>
    </w:p>
    <w:p w:rsidR="00281D12" w:rsidRDefault="00281D12" w:rsidP="00AE567F">
      <w:pPr>
        <w:pStyle w:val="Heading1"/>
        <w:spacing w:before="0"/>
      </w:pPr>
    </w:p>
    <w:p w:rsidR="00764B3A" w:rsidRDefault="00281D12" w:rsidP="00AE567F">
      <w:pPr>
        <w:pStyle w:val="Heading1"/>
        <w:spacing w:before="0"/>
      </w:pPr>
      <w:r>
        <w:t>Description</w:t>
      </w:r>
    </w:p>
    <w:p w:rsidR="00281D12" w:rsidRDefault="00655228" w:rsidP="00281D12">
      <w:bookmarkStart w:id="1" w:name="_Hlk494729410"/>
      <w:r w:rsidRPr="00655228">
        <w:t xml:space="preserve">This sample renders an HDR scene with values higher than 1.0f, which will be displayed as brighter than white on a UHD </w:t>
      </w:r>
      <w:r w:rsidR="00971E0B">
        <w:t>capable monitor with a supported video system (or tonemapped on standard displays)</w:t>
      </w:r>
      <w:r w:rsidRPr="00655228">
        <w:t>. The goal of the sample is to show which APIs to use, how the HDR swapchain should be created, and how different values larger than 1.0f will look on a UHD TV.</w:t>
      </w:r>
    </w:p>
    <w:bookmarkEnd w:id="1"/>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971E0B" w:rsidRPr="00C42F0D" w:rsidTr="00971E0B">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rsidR="00971E0B" w:rsidRPr="00C42F0D" w:rsidRDefault="00971E0B" w:rsidP="005E6344">
            <w:pPr>
              <w:pStyle w:val="Tableheading"/>
              <w:rPr>
                <w:bCs w:val="0"/>
              </w:rPr>
            </w:pPr>
            <w:bookmarkStart w:id="2" w:name="_Hlk494729419"/>
            <w:r w:rsidRPr="00160A8A">
              <w:t>Action</w:t>
            </w:r>
          </w:p>
        </w:tc>
        <w:tc>
          <w:tcPr>
            <w:tcW w:w="1176" w:type="pct"/>
            <w:hideMark/>
          </w:tcPr>
          <w:p w:rsidR="00971E0B" w:rsidRPr="00C42F0D" w:rsidRDefault="00971E0B" w:rsidP="005E6344">
            <w:pPr>
              <w:pStyle w:val="Tableheading"/>
              <w:rPr>
                <w:bCs w:val="0"/>
              </w:rPr>
            </w:pPr>
            <w:r>
              <w:t>Gamepad</w:t>
            </w:r>
          </w:p>
        </w:tc>
        <w:tc>
          <w:tcPr>
            <w:tcW w:w="1175" w:type="pct"/>
          </w:tcPr>
          <w:p w:rsidR="00971E0B" w:rsidRDefault="00971E0B" w:rsidP="005E6344">
            <w:pPr>
              <w:pStyle w:val="Tableheading"/>
            </w:pPr>
            <w:r>
              <w:t>Keyboard</w:t>
            </w:r>
          </w:p>
        </w:tc>
      </w:tr>
      <w:tr w:rsidR="00971E0B" w:rsidRPr="00C42F0D" w:rsidTr="00971E0B">
        <w:trPr>
          <w:trHeight w:val="469"/>
        </w:trPr>
        <w:tc>
          <w:tcPr>
            <w:tcW w:w="2649" w:type="pct"/>
          </w:tcPr>
          <w:p w:rsidR="00971E0B" w:rsidRPr="00C42F0D" w:rsidRDefault="00971E0B" w:rsidP="005E6344">
            <w:pPr>
              <w:pStyle w:val="Tablebody"/>
            </w:pPr>
            <w:r>
              <w:t>Toggle displaying ST.2084 curve</w:t>
            </w:r>
          </w:p>
        </w:tc>
        <w:tc>
          <w:tcPr>
            <w:tcW w:w="1176" w:type="pct"/>
          </w:tcPr>
          <w:p w:rsidR="00971E0B" w:rsidRPr="00C42F0D" w:rsidRDefault="00971E0B" w:rsidP="005E6344">
            <w:pPr>
              <w:pStyle w:val="Tablebody"/>
            </w:pPr>
            <w:r>
              <w:t>A button</w:t>
            </w:r>
          </w:p>
        </w:tc>
        <w:tc>
          <w:tcPr>
            <w:tcW w:w="1175" w:type="pct"/>
          </w:tcPr>
          <w:p w:rsidR="00971E0B" w:rsidRDefault="00971E0B" w:rsidP="005E6344">
            <w:pPr>
              <w:pStyle w:val="Tablebody"/>
            </w:pPr>
            <w:r>
              <w:t>Space</w:t>
            </w:r>
          </w:p>
        </w:tc>
      </w:tr>
      <w:tr w:rsidR="00971E0B" w:rsidTr="00971E0B">
        <w:trPr>
          <w:cnfStyle w:val="000000010000" w:firstRow="0" w:lastRow="0" w:firstColumn="0" w:lastColumn="0" w:oddVBand="0" w:evenVBand="0" w:oddHBand="0" w:evenHBand="1" w:firstRowFirstColumn="0" w:firstRowLastColumn="0" w:lastRowFirstColumn="0" w:lastRowLastColumn="0"/>
          <w:trHeight w:val="234"/>
        </w:trPr>
        <w:tc>
          <w:tcPr>
            <w:tcW w:w="2649" w:type="pct"/>
          </w:tcPr>
          <w:p w:rsidR="00971E0B" w:rsidRDefault="00971E0B" w:rsidP="005E6344">
            <w:pPr>
              <w:pStyle w:val="Tablebody"/>
            </w:pPr>
            <w:r>
              <w:t>Toggle displaying only paper white block</w:t>
            </w:r>
          </w:p>
        </w:tc>
        <w:tc>
          <w:tcPr>
            <w:tcW w:w="1176" w:type="pct"/>
          </w:tcPr>
          <w:p w:rsidR="00971E0B" w:rsidRDefault="00971E0B" w:rsidP="005E6344">
            <w:pPr>
              <w:pStyle w:val="Tablebody"/>
            </w:pPr>
            <w:r>
              <w:t>B button</w:t>
            </w:r>
          </w:p>
        </w:tc>
        <w:tc>
          <w:tcPr>
            <w:tcW w:w="1175" w:type="pct"/>
          </w:tcPr>
          <w:p w:rsidR="00971E0B" w:rsidRDefault="00971E0B" w:rsidP="005E6344">
            <w:pPr>
              <w:pStyle w:val="Tablebody"/>
            </w:pPr>
            <w:r>
              <w:t>Enter</w:t>
            </w:r>
          </w:p>
        </w:tc>
      </w:tr>
      <w:tr w:rsidR="00971E0B" w:rsidTr="00971E0B">
        <w:trPr>
          <w:trHeight w:val="234"/>
        </w:trPr>
        <w:tc>
          <w:tcPr>
            <w:tcW w:w="2649" w:type="pct"/>
          </w:tcPr>
          <w:p w:rsidR="00971E0B" w:rsidRDefault="00971E0B" w:rsidP="005E6344">
            <w:pPr>
              <w:pStyle w:val="Tablebody"/>
            </w:pPr>
            <w:r>
              <w:t>Adjust brightness of paper white</w:t>
            </w:r>
          </w:p>
        </w:tc>
        <w:tc>
          <w:tcPr>
            <w:tcW w:w="1176" w:type="pct"/>
          </w:tcPr>
          <w:p w:rsidR="00971E0B" w:rsidRDefault="00971E0B" w:rsidP="005E6344">
            <w:pPr>
              <w:pStyle w:val="Tablebody"/>
            </w:pPr>
            <w:r>
              <w:t>D-Pad</w:t>
            </w:r>
          </w:p>
        </w:tc>
        <w:tc>
          <w:tcPr>
            <w:tcW w:w="1175" w:type="pct"/>
          </w:tcPr>
          <w:p w:rsidR="00971E0B" w:rsidRDefault="00611ACD" w:rsidP="005E6344">
            <w:pPr>
              <w:pStyle w:val="Tablebody"/>
            </w:pPr>
            <w:r>
              <w:t>+ and -</w:t>
            </w:r>
          </w:p>
        </w:tc>
      </w:tr>
      <w:tr w:rsidR="00971E0B" w:rsidTr="00971E0B">
        <w:trPr>
          <w:cnfStyle w:val="000000010000" w:firstRow="0" w:lastRow="0" w:firstColumn="0" w:lastColumn="0" w:oddVBand="0" w:evenVBand="0" w:oddHBand="0" w:evenHBand="1" w:firstRowFirstColumn="0" w:firstRowLastColumn="0" w:lastRowFirstColumn="0" w:lastRowLastColumn="0"/>
          <w:trHeight w:val="362"/>
        </w:trPr>
        <w:tc>
          <w:tcPr>
            <w:tcW w:w="2649" w:type="pct"/>
          </w:tcPr>
          <w:p w:rsidR="00971E0B" w:rsidRDefault="00971E0B" w:rsidP="005E6344">
            <w:pPr>
              <w:pStyle w:val="Tablebody"/>
            </w:pPr>
            <w:r>
              <w:t>Adjust values</w:t>
            </w:r>
          </w:p>
        </w:tc>
        <w:tc>
          <w:tcPr>
            <w:tcW w:w="1176" w:type="pct"/>
          </w:tcPr>
          <w:p w:rsidR="00971E0B" w:rsidRDefault="00971E0B" w:rsidP="005E6344">
            <w:pPr>
              <w:pStyle w:val="Tablebody"/>
            </w:pPr>
            <w:r>
              <w:t>Left/Right thumb stick</w:t>
            </w:r>
          </w:p>
        </w:tc>
        <w:tc>
          <w:tcPr>
            <w:tcW w:w="1175" w:type="pct"/>
          </w:tcPr>
          <w:p w:rsidR="00971E0B" w:rsidRDefault="00611ACD" w:rsidP="005E6344">
            <w:pPr>
              <w:pStyle w:val="Tablebody"/>
            </w:pPr>
            <w:r>
              <w:t>Up and Down</w:t>
            </w:r>
          </w:p>
          <w:p w:rsidR="00611ACD" w:rsidRDefault="00611ACD" w:rsidP="005E6344">
            <w:pPr>
              <w:pStyle w:val="Tablebody"/>
            </w:pPr>
            <w:r>
              <w:t>(slowly with Shift)</w:t>
            </w:r>
          </w:p>
        </w:tc>
      </w:tr>
      <w:tr w:rsidR="00971E0B" w:rsidTr="00971E0B">
        <w:trPr>
          <w:trHeight w:val="362"/>
        </w:trPr>
        <w:tc>
          <w:tcPr>
            <w:tcW w:w="2649" w:type="pct"/>
          </w:tcPr>
          <w:p w:rsidR="00971E0B" w:rsidRDefault="00971E0B" w:rsidP="005E6344">
            <w:pPr>
              <w:pStyle w:val="Tablebody"/>
            </w:pPr>
            <w:r>
              <w:t>Exit</w:t>
            </w:r>
          </w:p>
        </w:tc>
        <w:tc>
          <w:tcPr>
            <w:tcW w:w="1176" w:type="pct"/>
          </w:tcPr>
          <w:p w:rsidR="00971E0B" w:rsidRDefault="00971E0B" w:rsidP="005E6344">
            <w:pPr>
              <w:pStyle w:val="Tablebody"/>
            </w:pPr>
            <w:r>
              <w:t>View button</w:t>
            </w:r>
          </w:p>
        </w:tc>
        <w:tc>
          <w:tcPr>
            <w:tcW w:w="1175" w:type="pct"/>
          </w:tcPr>
          <w:p w:rsidR="00971E0B" w:rsidRDefault="00971E0B" w:rsidP="005E6344">
            <w:pPr>
              <w:pStyle w:val="Tablebody"/>
            </w:pPr>
            <w:r>
              <w:t>Esc</w:t>
            </w:r>
          </w:p>
        </w:tc>
      </w:tr>
      <w:bookmarkEnd w:id="2"/>
    </w:tbl>
    <w:p w:rsidR="00E16AF8" w:rsidRDefault="00E16AF8" w:rsidP="00331038"/>
    <w:p w:rsidR="00F10540" w:rsidRDefault="003D3EF7" w:rsidP="00F10540">
      <w:pPr>
        <w:pStyle w:val="Heading1"/>
      </w:pPr>
      <w:r>
        <w:t>Implementation notes</w:t>
      </w:r>
      <w:bookmarkStart w:id="3" w:name="ID2EMD"/>
      <w:bookmarkEnd w:id="3"/>
    </w:p>
    <w:p w:rsidR="005640ED" w:rsidRDefault="00F10540" w:rsidP="00F10540">
      <w:r w:rsidRPr="006A2A92">
        <w:t>A very simple HDR scene, with values above 1.0f, is rendered to a FP16 backbuffer</w:t>
      </w:r>
      <w:r>
        <w:t>. If on a HDR-capable system, it produces an HDR signal otherwise a tonemapped SDR signal is generated in the swapchain.</w:t>
      </w:r>
    </w:p>
    <w:p w:rsidR="006A2A92" w:rsidRDefault="006A2A92" w:rsidP="006A2A92"/>
    <w:p w:rsidR="006A2A92" w:rsidRDefault="006A2A92" w:rsidP="006A2A92">
      <w:r>
        <w:t xml:space="preserve">This sample </w:t>
      </w:r>
      <w:r w:rsidR="00F10540">
        <w:t xml:space="preserve">uses </w:t>
      </w:r>
      <w:r w:rsidR="00774A4C">
        <w:t xml:space="preserve">the </w:t>
      </w:r>
      <w:hyperlink r:id="rId9" w:history="1">
        <w:r w:rsidRPr="006A2A92">
          <w:rPr>
            <w:rStyle w:val="Hyperlink"/>
          </w:rPr>
          <w:t>DeviceResources</w:t>
        </w:r>
      </w:hyperlink>
      <w:r>
        <w:t xml:space="preserve"> </w:t>
      </w:r>
      <w:r w:rsidR="00774A4C">
        <w:t xml:space="preserve">class </w:t>
      </w:r>
      <w:r>
        <w:t xml:space="preserve">which supports </w:t>
      </w:r>
      <w:r w:rsidR="00F10540">
        <w:t xml:space="preserve">HDR-capable </w:t>
      </w:r>
      <w:r>
        <w:t>swapchains.</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r w:rsidR="006246AC">
        <w:t xml:space="preserve"> </w:t>
      </w:r>
      <w:r w:rsidR="006246AC">
        <w:t xml:space="preserve">See the </w:t>
      </w:r>
      <w:hyperlink r:id="rId10" w:history="1">
        <w:r w:rsidR="006246AC">
          <w:rPr>
            <w:rStyle w:val="Hyperlink"/>
          </w:rPr>
          <w:t>PostProcess</w:t>
        </w:r>
      </w:hyperlink>
      <w:r w:rsidR="006246AC">
        <w:t xml:space="preserve"> class in </w:t>
      </w:r>
      <w:r w:rsidR="006246AC">
        <w:rPr>
          <w:i/>
        </w:rPr>
        <w:t xml:space="preserve">DirectX Tool Kit for DirectX 11 </w:t>
      </w:r>
      <w:r w:rsidR="006246AC">
        <w:t>for additional tone mapping operators.</w:t>
      </w:r>
      <w:bookmarkStart w:id="4" w:name="_GoBack"/>
      <w:bookmarkEnd w:id="4"/>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Known issues</w:t>
      </w:r>
    </w:p>
    <w:p w:rsidR="006A2A92" w:rsidRDefault="00A14F6C" w:rsidP="006A2A92">
      <w:r>
        <w:t>This sample does not implement HDR on UWP on Xbox One</w:t>
      </w:r>
    </w:p>
    <w:p w:rsidR="003D3EF7" w:rsidRDefault="003D3EF7" w:rsidP="003D3EF7">
      <w:pPr>
        <w:pStyle w:val="Heading1"/>
      </w:pPr>
      <w:r>
        <w:t>Update history</w:t>
      </w:r>
    </w:p>
    <w:p w:rsidR="006A2A92" w:rsidRDefault="006A2A92" w:rsidP="006A2A92">
      <w:r>
        <w:t xml:space="preserve">Initial release </w:t>
      </w:r>
      <w:r w:rsidR="00F10540">
        <w:t>October 2017</w:t>
      </w:r>
    </w:p>
    <w:p w:rsidR="00192938" w:rsidRDefault="00192938" w:rsidP="00192938">
      <w:pPr>
        <w:pStyle w:val="Heading1"/>
      </w:pPr>
      <w:r>
        <w:t>Privacy Statement</w:t>
      </w:r>
    </w:p>
    <w:p w:rsidR="00192938" w:rsidRDefault="00192938" w:rsidP="00192938">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92938" w:rsidRDefault="00192938" w:rsidP="00192938">
      <w:pPr>
        <w:rPr>
          <w:rFonts w:cs="Segoe UI"/>
          <w:szCs w:val="20"/>
        </w:rPr>
      </w:pPr>
    </w:p>
    <w:p w:rsidR="00192938" w:rsidRDefault="00192938" w:rsidP="00192938">
      <w:pPr>
        <w:rPr>
          <w:rFonts w:cs="Segoe UI"/>
          <w:szCs w:val="20"/>
        </w:rPr>
      </w:pPr>
      <w:r>
        <w:rPr>
          <w:rFonts w:cs="Segoe UI"/>
          <w:szCs w:val="20"/>
        </w:rPr>
        <w:t xml:space="preserve">For more information about Microsoft’s privacy policies in general, see the </w:t>
      </w:r>
      <w:hyperlink r:id="rId11" w:history="1">
        <w:r>
          <w:rPr>
            <w:rStyle w:val="Hyperlink"/>
            <w:rFonts w:cs="Segoe UI"/>
            <w:szCs w:val="20"/>
          </w:rPr>
          <w:t>Microsoft Privacy Statement</w:t>
        </w:r>
      </w:hyperlink>
      <w:r>
        <w:rPr>
          <w:rFonts w:cs="Segoe UI"/>
          <w:szCs w:val="20"/>
        </w:rPr>
        <w:t>.</w:t>
      </w:r>
    </w:p>
    <w:p w:rsidR="00192938" w:rsidRPr="00331038" w:rsidRDefault="00192938" w:rsidP="00331038"/>
    <w:sectPr w:rsidR="00192938" w:rsidRPr="00331038" w:rsidSect="00DD79D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44BE" w:rsidRDefault="004344BE" w:rsidP="0074610F">
      <w:r>
        <w:separator/>
      </w:r>
    </w:p>
  </w:endnote>
  <w:endnote w:type="continuationSeparator" w:id="0">
    <w:p w:rsidR="004344BE" w:rsidRDefault="004344BE"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246AC">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6246AC">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6246AC">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44BE" w:rsidRDefault="004344BE" w:rsidP="0074610F">
      <w:r>
        <w:separator/>
      </w:r>
    </w:p>
  </w:footnote>
  <w:footnote w:type="continuationSeparator" w:id="0">
    <w:p w:rsidR="004344BE" w:rsidRDefault="004344BE"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4F6C" w:rsidRDefault="00A14F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A1F7D"/>
    <w:rsid w:val="002B0FF6"/>
    <w:rsid w:val="002B10AB"/>
    <w:rsid w:val="002E7BBB"/>
    <w:rsid w:val="00303D44"/>
    <w:rsid w:val="00321170"/>
    <w:rsid w:val="00331038"/>
    <w:rsid w:val="00355166"/>
    <w:rsid w:val="00397AD0"/>
    <w:rsid w:val="003D3EF7"/>
    <w:rsid w:val="00425592"/>
    <w:rsid w:val="004344BE"/>
    <w:rsid w:val="004B7DDA"/>
    <w:rsid w:val="005640ED"/>
    <w:rsid w:val="00575766"/>
    <w:rsid w:val="00575F36"/>
    <w:rsid w:val="00585527"/>
    <w:rsid w:val="005B4DA9"/>
    <w:rsid w:val="005E3DA1"/>
    <w:rsid w:val="00611ACD"/>
    <w:rsid w:val="006246AC"/>
    <w:rsid w:val="00655228"/>
    <w:rsid w:val="006A2A92"/>
    <w:rsid w:val="006A532D"/>
    <w:rsid w:val="006B7433"/>
    <w:rsid w:val="006D506E"/>
    <w:rsid w:val="00707E22"/>
    <w:rsid w:val="0074610F"/>
    <w:rsid w:val="007624A4"/>
    <w:rsid w:val="00764B3A"/>
    <w:rsid w:val="00764E7D"/>
    <w:rsid w:val="00774A4C"/>
    <w:rsid w:val="007806DC"/>
    <w:rsid w:val="007A0848"/>
    <w:rsid w:val="007B3123"/>
    <w:rsid w:val="00802E05"/>
    <w:rsid w:val="00843058"/>
    <w:rsid w:val="00886E89"/>
    <w:rsid w:val="00887700"/>
    <w:rsid w:val="008946E7"/>
    <w:rsid w:val="00917557"/>
    <w:rsid w:val="00971E0B"/>
    <w:rsid w:val="00985949"/>
    <w:rsid w:val="00987A88"/>
    <w:rsid w:val="00A14F6C"/>
    <w:rsid w:val="00AA4DBF"/>
    <w:rsid w:val="00AE567F"/>
    <w:rsid w:val="00B15AAA"/>
    <w:rsid w:val="00B62C6B"/>
    <w:rsid w:val="00BC1F23"/>
    <w:rsid w:val="00CF3729"/>
    <w:rsid w:val="00D23333"/>
    <w:rsid w:val="00DC7DFC"/>
    <w:rsid w:val="00DD0606"/>
    <w:rsid w:val="00DD79DA"/>
    <w:rsid w:val="00E16AF8"/>
    <w:rsid w:val="00E6273F"/>
    <w:rsid w:val="00EE2624"/>
    <w:rsid w:val="00F0071C"/>
    <w:rsid w:val="00F10540"/>
    <w:rsid w:val="00F40AC7"/>
    <w:rsid w:val="00F56FB3"/>
    <w:rsid w:val="00F7045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A9795"/>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F105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Microsoft/DirectXTK/wiki/PostProces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3</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26</cp:revision>
  <dcterms:created xsi:type="dcterms:W3CDTF">2016-01-25T19:58:00Z</dcterms:created>
  <dcterms:modified xsi:type="dcterms:W3CDTF">2017-10-26T20:43:00Z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2017-10-25T23:41:33.9392965Z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