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rsidR="00764B3A" w:rsidRPr="00AE567F" w:rsidRDefault="008B600B" w:rsidP="00AE567F">
      <w:pPr>
        <w:pStyle w:val="Title"/>
      </w:pPr>
      <w:r>
        <w:t>SimpleCompute</w:t>
      </w:r>
      <w:r w:rsidR="005F6160">
        <w:t xml:space="preserve"> </w:t>
      </w:r>
      <w:r w:rsidR="00F70459">
        <w:t>Sample</w:t>
      </w:r>
      <w:r w:rsidR="003A2A52">
        <w:t xml:space="preserve"> for Direct3D</w:t>
      </w:r>
      <w:r w:rsidR="005F6160">
        <w:t xml:space="preserve"> 12</w:t>
      </w:r>
    </w:p>
    <w:p w:rsidR="00914EDA" w:rsidRPr="00914EDA" w:rsidRDefault="00914EDA" w:rsidP="00914EDA">
      <w:pPr>
        <w:rPr>
          <w:i/>
        </w:rPr>
      </w:pPr>
      <w:r w:rsidRPr="00914EDA">
        <w:rPr>
          <w:i/>
        </w:rPr>
        <w:t xml:space="preserve">This sample is compatible with the </w:t>
      </w:r>
      <w:r w:rsidR="005412C8">
        <w:rPr>
          <w:i/>
        </w:rPr>
        <w:t>Windows 10 Creators Update SDK (15063)</w:t>
      </w:r>
    </w:p>
    <w:p w:rsidR="00281D12" w:rsidRDefault="00281D12" w:rsidP="00AE567F">
      <w:pPr>
        <w:pStyle w:val="Heading1"/>
        <w:spacing w:before="0"/>
      </w:pPr>
    </w:p>
    <w:p w:rsidR="00764B3A" w:rsidRDefault="00281D12" w:rsidP="00AE567F">
      <w:pPr>
        <w:pStyle w:val="Heading1"/>
        <w:spacing w:before="0"/>
      </w:pPr>
      <w:r>
        <w:t>Description</w:t>
      </w:r>
    </w:p>
    <w:p w:rsidR="00D47952" w:rsidRDefault="008B600B" w:rsidP="00D47952">
      <w:r>
        <w:rPr>
          <w:noProof/>
        </w:rPr>
        <w:drawing>
          <wp:inline distT="0" distB="0" distL="0" distR="0" wp14:anchorId="7A585196" wp14:editId="293EDC62">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B600B">
        <w:t xml:space="preserve"> </w:t>
      </w:r>
    </w:p>
    <w:p w:rsidR="00D47952" w:rsidRDefault="00D47952" w:rsidP="00D47952"/>
    <w:p w:rsidR="00D47952" w:rsidRDefault="00D47952" w:rsidP="00D47952">
      <w:bookmarkStart w:id="0" w:name="_GoBack"/>
      <w:bookmarkEnd w:id="0"/>
      <w:r>
        <w:t xml:space="preserve">SimpleCompute shows how to use DirectCompute™ (i.e. Direct3D Compute Shader). The sample demonstrates submitting compute work to both the graphics command list and how to use the </w:t>
      </w:r>
      <w:r w:rsidRPr="004B067F">
        <w:t>D3D12_COMMAND_LIST_TYPE_COMPUTE</w:t>
      </w:r>
      <w:r>
        <w:t xml:space="preserve"> interface to submit asynchronous compute shader workloads. It updates a texture by computing the Mandelbrot set using a compute shader.</w:t>
      </w:r>
    </w:p>
    <w:p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238"/>
        <w:gridCol w:w="3056"/>
        <w:gridCol w:w="3056"/>
      </w:tblGrid>
      <w:tr w:rsidR="005412C8" w:rsidRPr="00C42F0D" w:rsidTr="005412C8">
        <w:trPr>
          <w:cnfStyle w:val="100000000000" w:firstRow="1" w:lastRow="0" w:firstColumn="0" w:lastColumn="0" w:oddVBand="0" w:evenVBand="0" w:oddHBand="0" w:evenHBand="0" w:firstRowFirstColumn="0" w:firstRowLastColumn="0" w:lastRowFirstColumn="0" w:lastRowLastColumn="0"/>
          <w:trHeight w:val="364"/>
        </w:trPr>
        <w:tc>
          <w:tcPr>
            <w:tcW w:w="1732" w:type="pct"/>
            <w:hideMark/>
          </w:tcPr>
          <w:p w:rsidR="005412C8" w:rsidRPr="00C42F0D" w:rsidRDefault="005412C8" w:rsidP="0074162B">
            <w:pPr>
              <w:pStyle w:val="Tableheading"/>
              <w:rPr>
                <w:bCs w:val="0"/>
              </w:rPr>
            </w:pPr>
            <w:r w:rsidRPr="00160A8A">
              <w:t>Action</w:t>
            </w:r>
          </w:p>
        </w:tc>
        <w:tc>
          <w:tcPr>
            <w:tcW w:w="1634" w:type="pct"/>
            <w:hideMark/>
          </w:tcPr>
          <w:p w:rsidR="005412C8" w:rsidRPr="00C42F0D" w:rsidRDefault="005412C8" w:rsidP="0074162B">
            <w:pPr>
              <w:pStyle w:val="Tableheading"/>
              <w:rPr>
                <w:bCs w:val="0"/>
              </w:rPr>
            </w:pPr>
            <w:r>
              <w:t>Gamepad</w:t>
            </w:r>
          </w:p>
        </w:tc>
        <w:tc>
          <w:tcPr>
            <w:tcW w:w="1634" w:type="pct"/>
          </w:tcPr>
          <w:p w:rsidR="005412C8" w:rsidRDefault="005412C8" w:rsidP="0074162B">
            <w:pPr>
              <w:pStyle w:val="Tableheading"/>
            </w:pPr>
            <w:r>
              <w:t>Keyboard</w:t>
            </w:r>
          </w:p>
        </w:tc>
      </w:tr>
      <w:tr w:rsidR="005412C8" w:rsidRPr="00C42F0D" w:rsidTr="005412C8">
        <w:trPr>
          <w:trHeight w:val="469"/>
        </w:trPr>
        <w:tc>
          <w:tcPr>
            <w:tcW w:w="1732" w:type="pct"/>
          </w:tcPr>
          <w:p w:rsidR="005412C8" w:rsidRPr="00C42F0D" w:rsidRDefault="005412C8" w:rsidP="0074162B">
            <w:pPr>
              <w:pStyle w:val="Tablebody"/>
            </w:pPr>
            <w:r w:rsidRPr="00E6279B">
              <w:t>Toggle Async Compute</w:t>
            </w:r>
          </w:p>
        </w:tc>
        <w:tc>
          <w:tcPr>
            <w:tcW w:w="1634" w:type="pct"/>
          </w:tcPr>
          <w:p w:rsidR="005412C8" w:rsidRPr="00C42F0D" w:rsidRDefault="005412C8" w:rsidP="0074162B">
            <w:pPr>
              <w:pStyle w:val="Tablebody"/>
            </w:pPr>
            <w:r>
              <w:t>A</w:t>
            </w:r>
            <w:r w:rsidRPr="00C42F0D">
              <w:t xml:space="preserve"> button</w:t>
            </w:r>
          </w:p>
        </w:tc>
        <w:tc>
          <w:tcPr>
            <w:tcW w:w="1634" w:type="pct"/>
          </w:tcPr>
          <w:p w:rsidR="005412C8" w:rsidRDefault="005412C8" w:rsidP="0074162B">
            <w:pPr>
              <w:pStyle w:val="Tablebody"/>
            </w:pPr>
            <w:r>
              <w:t>Space</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rsidRPr="00E6279B">
              <w:t>Reset Viewport to Default</w:t>
            </w:r>
          </w:p>
        </w:tc>
        <w:tc>
          <w:tcPr>
            <w:tcW w:w="1634" w:type="pct"/>
          </w:tcPr>
          <w:p w:rsidR="005412C8" w:rsidRDefault="005412C8" w:rsidP="0074162B">
            <w:pPr>
              <w:pStyle w:val="Tablebody"/>
            </w:pPr>
            <w:r>
              <w:t>Y button</w:t>
            </w:r>
          </w:p>
        </w:tc>
        <w:tc>
          <w:tcPr>
            <w:tcW w:w="1634" w:type="pct"/>
          </w:tcPr>
          <w:p w:rsidR="005412C8" w:rsidRDefault="005412C8" w:rsidP="0074162B">
            <w:pPr>
              <w:pStyle w:val="Tablebody"/>
            </w:pPr>
            <w:r>
              <w:t>Home</w:t>
            </w:r>
          </w:p>
        </w:tc>
      </w:tr>
      <w:tr w:rsidR="005412C8" w:rsidTr="005412C8">
        <w:trPr>
          <w:trHeight w:val="362"/>
        </w:trPr>
        <w:tc>
          <w:tcPr>
            <w:tcW w:w="1732" w:type="pct"/>
          </w:tcPr>
          <w:p w:rsidR="005412C8" w:rsidRDefault="005412C8" w:rsidP="0074162B">
            <w:pPr>
              <w:pStyle w:val="Tablebody"/>
            </w:pPr>
            <w:r>
              <w:t>Pan Viewport</w:t>
            </w:r>
          </w:p>
        </w:tc>
        <w:tc>
          <w:tcPr>
            <w:tcW w:w="1634" w:type="pct"/>
          </w:tcPr>
          <w:p w:rsidR="005412C8" w:rsidRDefault="005412C8" w:rsidP="0074162B">
            <w:pPr>
              <w:pStyle w:val="Tablebody"/>
            </w:pPr>
            <w:r>
              <w:t>Left stick</w:t>
            </w:r>
          </w:p>
        </w:tc>
        <w:tc>
          <w:tcPr>
            <w:tcW w:w="1634" w:type="pct"/>
          </w:tcPr>
          <w:p w:rsidR="005412C8" w:rsidRDefault="005412C8" w:rsidP="0074162B">
            <w:pPr>
              <w:pStyle w:val="Tablebody"/>
            </w:pPr>
            <w:r>
              <w:t>WASD</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t>Zoom Viewport</w:t>
            </w:r>
          </w:p>
        </w:tc>
        <w:tc>
          <w:tcPr>
            <w:tcW w:w="1634" w:type="pct"/>
          </w:tcPr>
          <w:p w:rsidR="005412C8" w:rsidRDefault="005412C8" w:rsidP="0074162B">
            <w:pPr>
              <w:pStyle w:val="Tablebody"/>
            </w:pPr>
            <w:r>
              <w:t>Right stick</w:t>
            </w:r>
          </w:p>
        </w:tc>
        <w:tc>
          <w:tcPr>
            <w:tcW w:w="1634" w:type="pct"/>
          </w:tcPr>
          <w:p w:rsidR="005412C8" w:rsidRDefault="005412C8" w:rsidP="0074162B">
            <w:pPr>
              <w:pStyle w:val="Tablebody"/>
            </w:pPr>
            <w:r>
              <w:t>PgUp/PgDn</w:t>
            </w:r>
          </w:p>
        </w:tc>
      </w:tr>
      <w:tr w:rsidR="005412C8" w:rsidTr="005412C8">
        <w:trPr>
          <w:trHeight w:val="469"/>
        </w:trPr>
        <w:tc>
          <w:tcPr>
            <w:tcW w:w="1732" w:type="pct"/>
          </w:tcPr>
          <w:p w:rsidR="005412C8" w:rsidRDefault="005412C8" w:rsidP="0074162B">
            <w:pPr>
              <w:pStyle w:val="Tablebody"/>
            </w:pPr>
            <w:r>
              <w:t>Increase Zoom Speed</w:t>
            </w:r>
          </w:p>
        </w:tc>
        <w:tc>
          <w:tcPr>
            <w:tcW w:w="1634" w:type="pct"/>
          </w:tcPr>
          <w:p w:rsidR="005412C8" w:rsidRDefault="005412C8" w:rsidP="0074162B">
            <w:pPr>
              <w:pStyle w:val="Tablebody"/>
            </w:pPr>
            <w:r>
              <w:t>Right trigger</w:t>
            </w:r>
          </w:p>
        </w:tc>
        <w:tc>
          <w:tcPr>
            <w:tcW w:w="1634" w:type="pct"/>
          </w:tcPr>
          <w:p w:rsidR="005412C8" w:rsidRDefault="005412C8" w:rsidP="0074162B">
            <w:pPr>
              <w:pStyle w:val="Tablebody"/>
            </w:pPr>
            <w:r>
              <w:t>Shift + PgUp/PgDn</w:t>
            </w:r>
          </w:p>
        </w:tc>
      </w:tr>
      <w:tr w:rsidR="005412C8" w:rsidTr="005412C8">
        <w:trPr>
          <w:cnfStyle w:val="000000010000" w:firstRow="0" w:lastRow="0" w:firstColumn="0" w:lastColumn="0" w:oddVBand="0" w:evenVBand="0" w:oddHBand="0" w:evenHBand="1" w:firstRowFirstColumn="0" w:firstRowLastColumn="0" w:lastRowFirstColumn="0" w:lastRowLastColumn="0"/>
          <w:trHeight w:val="469"/>
        </w:trPr>
        <w:tc>
          <w:tcPr>
            <w:tcW w:w="1732" w:type="pct"/>
          </w:tcPr>
          <w:p w:rsidR="005412C8" w:rsidRDefault="005412C8" w:rsidP="0074162B">
            <w:pPr>
              <w:pStyle w:val="Tablebody"/>
            </w:pPr>
            <w:r>
              <w:t>Exit</w:t>
            </w:r>
          </w:p>
        </w:tc>
        <w:tc>
          <w:tcPr>
            <w:tcW w:w="1634" w:type="pct"/>
          </w:tcPr>
          <w:p w:rsidR="005412C8" w:rsidRDefault="005412C8" w:rsidP="0074162B">
            <w:pPr>
              <w:pStyle w:val="Tablebody"/>
            </w:pPr>
            <w:r>
              <w:t>View Button</w:t>
            </w:r>
          </w:p>
        </w:tc>
        <w:tc>
          <w:tcPr>
            <w:tcW w:w="1634" w:type="pct"/>
          </w:tcPr>
          <w:p w:rsidR="005412C8" w:rsidRDefault="005412C8" w:rsidP="0074162B">
            <w:pPr>
              <w:pStyle w:val="Tablebody"/>
            </w:pPr>
            <w:r>
              <w:t>Esc</w:t>
            </w:r>
          </w:p>
        </w:tc>
      </w:tr>
      <w:tr w:rsidR="005412C8" w:rsidTr="005412C8">
        <w:trPr>
          <w:trHeight w:val="469"/>
        </w:trPr>
        <w:tc>
          <w:tcPr>
            <w:tcW w:w="1732" w:type="pct"/>
          </w:tcPr>
          <w:p w:rsidR="005412C8" w:rsidRDefault="005412C8" w:rsidP="0074162B">
            <w:pPr>
              <w:pStyle w:val="Tablebody"/>
            </w:pPr>
            <w:r>
              <w:lastRenderedPageBreak/>
              <w:t>Menu</w:t>
            </w:r>
          </w:p>
        </w:tc>
        <w:tc>
          <w:tcPr>
            <w:tcW w:w="1634" w:type="pct"/>
          </w:tcPr>
          <w:p w:rsidR="005412C8" w:rsidRDefault="005412C8" w:rsidP="0074162B">
            <w:pPr>
              <w:pStyle w:val="Tablebody"/>
            </w:pPr>
            <w:r>
              <w:t>Show/hide help</w:t>
            </w:r>
          </w:p>
        </w:tc>
        <w:tc>
          <w:tcPr>
            <w:tcW w:w="1634" w:type="pct"/>
          </w:tcPr>
          <w:p w:rsidR="005412C8" w:rsidRDefault="005412C8" w:rsidP="0074162B">
            <w:pPr>
              <w:pStyle w:val="Tablebody"/>
            </w:pPr>
            <w:r>
              <w:t>F1</w:t>
            </w:r>
          </w:p>
        </w:tc>
      </w:tr>
    </w:tbl>
    <w:p w:rsidR="003D3EF7" w:rsidRDefault="003D3EF7" w:rsidP="003D3EF7">
      <w:pPr>
        <w:pStyle w:val="Heading1"/>
      </w:pPr>
      <w:r>
        <w:t>Implementation notes</w:t>
      </w:r>
    </w:p>
    <w:p w:rsidR="008B600B" w:rsidRDefault="008B600B" w:rsidP="008B600B">
      <w:r>
        <w:t>The primary purpose of this sample is to familiarize the reader</w:t>
      </w:r>
      <w:r w:rsidR="00E7459B">
        <w:t xml:space="preserve"> with creating and using a simple compute shader.</w:t>
      </w:r>
    </w:p>
    <w:p w:rsidR="00E7459B" w:rsidRDefault="00E7459B" w:rsidP="00E7459B">
      <w:pPr>
        <w:pStyle w:val="ListParagraph"/>
        <w:numPr>
          <w:ilvl w:val="0"/>
          <w:numId w:val="17"/>
        </w:numPr>
      </w:pPr>
      <w:r w:rsidRPr="00E7459B">
        <w:rPr>
          <w:b/>
        </w:rPr>
        <w:t>CreateDeviceDependentResources</w:t>
      </w:r>
      <w:r>
        <w:t>: This is where the compiled compute shader is loaded and the various Direct3D rendering resources are created. The shaders are compiled by Visual Studio.</w:t>
      </w:r>
    </w:p>
    <w:p w:rsidR="00E7459B" w:rsidRDefault="00E7459B" w:rsidP="00E7459B">
      <w:pPr>
        <w:pStyle w:val="ListParagraph"/>
        <w:numPr>
          <w:ilvl w:val="0"/>
          <w:numId w:val="17"/>
        </w:numPr>
      </w:pPr>
      <w:r w:rsidRPr="00E7459B">
        <w:rPr>
          <w:b/>
        </w:rPr>
        <w:t>Render</w:t>
      </w:r>
      <w:r>
        <w:t>: If the sample is not using asynchronous compute the compute shader is dispatched before the draw call that needs the results is dispatched. This updates the texture every frame.</w:t>
      </w:r>
    </w:p>
    <w:p w:rsidR="00E7459B" w:rsidRPr="008B600B" w:rsidRDefault="00E7459B" w:rsidP="00E7459B">
      <w:pPr>
        <w:pStyle w:val="ListParagraph"/>
        <w:numPr>
          <w:ilvl w:val="0"/>
          <w:numId w:val="17"/>
        </w:numPr>
      </w:pPr>
      <w:r w:rsidRPr="00E7459B">
        <w:rPr>
          <w:b/>
        </w:rPr>
        <w:t>AsyncComputeProc</w:t>
      </w:r>
      <w:r>
        <w:t>: If the sample is using asynchronous compute the compute shader is dispatched from this thread as soon as it’s told to start processing. Render will wait until it’s told the asynchronous task is complete before performing the dependent draw call.</w:t>
      </w:r>
    </w:p>
    <w:p w:rsidR="00727C80" w:rsidRDefault="00727C80" w:rsidP="00727C80">
      <w:pPr>
        <w:pStyle w:val="Heading1"/>
      </w:pPr>
      <w:r>
        <w:t>Update history</w:t>
      </w:r>
    </w:p>
    <w:p w:rsidR="00727C80" w:rsidRPr="00331038" w:rsidRDefault="00727C80" w:rsidP="00727C80">
      <w:r>
        <w:t xml:space="preserve">Initial release </w:t>
      </w:r>
      <w:r w:rsidR="006277CA">
        <w:t>September</w:t>
      </w:r>
      <w:r>
        <w:t xml:space="preserve"> 2017</w:t>
      </w:r>
    </w:p>
    <w:p w:rsidR="00950458" w:rsidRDefault="00950458" w:rsidP="00950458">
      <w:pPr>
        <w:pStyle w:val="Heading1"/>
        <w:rPr>
          <w:rFonts w:eastAsia="Times New Roman"/>
        </w:rPr>
      </w:pPr>
      <w:r>
        <w:rPr>
          <w:rFonts w:eastAsia="Times New Roman"/>
        </w:rPr>
        <w:t>Privacy Statement</w:t>
      </w:r>
    </w:p>
    <w:p w:rsidR="00950458" w:rsidRDefault="00950458" w:rsidP="00950458">
      <w:r>
        <w:t>When compiling and running a sample, the file name of the sample executable will be sent to Microsoft to help track sample usage. To opt-out of this data collection, you can remove the block of code in Main.cpp labeled “Sample Usage Telemetry”.</w:t>
      </w:r>
    </w:p>
    <w:p w:rsidR="00950458" w:rsidRDefault="00950458" w:rsidP="00950458"/>
    <w:p w:rsidR="00950458" w:rsidRDefault="00950458" w:rsidP="00950458">
      <w:r>
        <w:t xml:space="preserve">For more information about Microsoft’s privacy policies in general, see the </w:t>
      </w:r>
      <w:hyperlink r:id="rId11" w:history="1">
        <w:r>
          <w:rPr>
            <w:rStyle w:val="Hyperlink"/>
          </w:rPr>
          <w:t>Microsoft Privacy Statement</w:t>
        </w:r>
      </w:hyperlink>
      <w:r>
        <w:t>.</w:t>
      </w:r>
    </w:p>
    <w:p w:rsidR="00727C80" w:rsidRPr="006F70C1" w:rsidRDefault="00727C80" w:rsidP="006F70C1"/>
    <w:sectPr w:rsidR="00727C80" w:rsidRPr="006F70C1"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5B0" w:rsidRDefault="00B535B0" w:rsidP="0074610F">
      <w:r>
        <w:separator/>
      </w:r>
    </w:p>
  </w:endnote>
  <w:endnote w:type="continuationSeparator" w:id="0">
    <w:p w:rsidR="00B535B0" w:rsidRDefault="00B535B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47952">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03E0E">
            <w:rPr>
              <w:rFonts w:cs="Segoe UI"/>
              <w:color w:val="808080" w:themeColor="background1" w:themeShade="80"/>
              <w:szCs w:val="20"/>
            </w:rPr>
            <w:t>SimpleComputeUWP12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4795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4795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5B0" w:rsidRDefault="00B535B0" w:rsidP="0074610F">
      <w:r>
        <w:separator/>
      </w:r>
    </w:p>
  </w:footnote>
  <w:footnote w:type="continuationSeparator" w:id="0">
    <w:p w:rsidR="00B535B0" w:rsidRDefault="00B535B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4B3B"/>
    <w:rsid w:val="00093D9D"/>
    <w:rsid w:val="00097CCA"/>
    <w:rsid w:val="000B6D5E"/>
    <w:rsid w:val="00150ED8"/>
    <w:rsid w:val="001C132C"/>
    <w:rsid w:val="001F1798"/>
    <w:rsid w:val="00203869"/>
    <w:rsid w:val="0024713D"/>
    <w:rsid w:val="002741D2"/>
    <w:rsid w:val="002748E9"/>
    <w:rsid w:val="00281D12"/>
    <w:rsid w:val="00287A4C"/>
    <w:rsid w:val="00294A1B"/>
    <w:rsid w:val="002E7BBB"/>
    <w:rsid w:val="00303D44"/>
    <w:rsid w:val="00321170"/>
    <w:rsid w:val="00331038"/>
    <w:rsid w:val="00355166"/>
    <w:rsid w:val="003A2A52"/>
    <w:rsid w:val="003D3EF7"/>
    <w:rsid w:val="00425592"/>
    <w:rsid w:val="004A3E04"/>
    <w:rsid w:val="004B067F"/>
    <w:rsid w:val="004B7DDA"/>
    <w:rsid w:val="004C4689"/>
    <w:rsid w:val="005412C8"/>
    <w:rsid w:val="005640ED"/>
    <w:rsid w:val="00575766"/>
    <w:rsid w:val="00575F36"/>
    <w:rsid w:val="00585527"/>
    <w:rsid w:val="005B4DA9"/>
    <w:rsid w:val="005D05F6"/>
    <w:rsid w:val="005E3DA1"/>
    <w:rsid w:val="005F6160"/>
    <w:rsid w:val="00617EB4"/>
    <w:rsid w:val="006277CA"/>
    <w:rsid w:val="00635D7C"/>
    <w:rsid w:val="00683D94"/>
    <w:rsid w:val="006A532D"/>
    <w:rsid w:val="006B7433"/>
    <w:rsid w:val="006C5CBC"/>
    <w:rsid w:val="006F70C1"/>
    <w:rsid w:val="00707E22"/>
    <w:rsid w:val="00727C80"/>
    <w:rsid w:val="0074610F"/>
    <w:rsid w:val="007624A4"/>
    <w:rsid w:val="00764B3A"/>
    <w:rsid w:val="007806DC"/>
    <w:rsid w:val="007A0848"/>
    <w:rsid w:val="007F2B7E"/>
    <w:rsid w:val="00843058"/>
    <w:rsid w:val="00886E89"/>
    <w:rsid w:val="00887700"/>
    <w:rsid w:val="008B600B"/>
    <w:rsid w:val="008D0DC0"/>
    <w:rsid w:val="008D21B4"/>
    <w:rsid w:val="00914EDA"/>
    <w:rsid w:val="00917557"/>
    <w:rsid w:val="00937E3A"/>
    <w:rsid w:val="00950458"/>
    <w:rsid w:val="00985949"/>
    <w:rsid w:val="00987A88"/>
    <w:rsid w:val="00A0279B"/>
    <w:rsid w:val="00AC3869"/>
    <w:rsid w:val="00AE567F"/>
    <w:rsid w:val="00B15AAA"/>
    <w:rsid w:val="00B535B0"/>
    <w:rsid w:val="00B62C6B"/>
    <w:rsid w:val="00B95F22"/>
    <w:rsid w:val="00BB2095"/>
    <w:rsid w:val="00BC1F23"/>
    <w:rsid w:val="00C03E0E"/>
    <w:rsid w:val="00C06BDE"/>
    <w:rsid w:val="00C24BE0"/>
    <w:rsid w:val="00CC44D9"/>
    <w:rsid w:val="00CF3729"/>
    <w:rsid w:val="00D251F2"/>
    <w:rsid w:val="00D47952"/>
    <w:rsid w:val="00D5462E"/>
    <w:rsid w:val="00DC10E0"/>
    <w:rsid w:val="00DC7DFC"/>
    <w:rsid w:val="00DD0606"/>
    <w:rsid w:val="00E154F1"/>
    <w:rsid w:val="00E16AF8"/>
    <w:rsid w:val="00E6273F"/>
    <w:rsid w:val="00E7459B"/>
    <w:rsid w:val="00EA0740"/>
    <w:rsid w:val="00EE2624"/>
    <w:rsid w:val="00F40AC7"/>
    <w:rsid w:val="00F65DB0"/>
    <w:rsid w:val="00F70459"/>
    <w:rsid w:val="00F7200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41562"/>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1016E-0B3B-4B10-8364-041C41A9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33</cp:revision>
  <dcterms:created xsi:type="dcterms:W3CDTF">2016-01-25T19:58:00Z</dcterms:created>
  <dcterms:modified xsi:type="dcterms:W3CDTF">2017-09-28T16:09:00Z</dcterms:modified>
</cp:coreProperties>
</file>