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6D561A" w:rsidRDefault="006D561A" w:rsidP="006D561A">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B85F9D" w:rsidRPr="00B85F9D" w:rsidRDefault="00B85F9D" w:rsidP="00B85F9D">
      <w:bookmarkStart w:id="0" w:name="_GoBack"/>
      <w:bookmarkEnd w:id="0"/>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BC0CB8" w:rsidRDefault="00BC0CB8" w:rsidP="00BC0CB8">
      <w:pPr>
        <w:pStyle w:val="Heading1"/>
      </w:pPr>
      <w:r>
        <w:t>Privacy statement</w:t>
      </w:r>
    </w:p>
    <w:p w:rsidR="00BC0CB8" w:rsidRPr="004B7280" w:rsidRDefault="00BC0CB8" w:rsidP="00BC0CB8">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C0CB8" w:rsidRPr="004B7280" w:rsidRDefault="00BC0CB8" w:rsidP="00BC0CB8">
      <w:pPr>
        <w:rPr>
          <w:rFonts w:cs="Segoe UI"/>
          <w:szCs w:val="20"/>
        </w:rPr>
      </w:pPr>
    </w:p>
    <w:p w:rsidR="00BC0CB8" w:rsidRPr="004B7280" w:rsidRDefault="00BC0CB8" w:rsidP="00BC0CB8">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DFD" w:rsidRDefault="000A2DFD" w:rsidP="0074610F">
      <w:r>
        <w:separator/>
      </w:r>
    </w:p>
  </w:endnote>
  <w:endnote w:type="continuationSeparator" w:id="0">
    <w:p w:rsidR="000A2DFD" w:rsidRDefault="000A2DF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6D561A">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47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D561A">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DFD" w:rsidRDefault="000A2DFD" w:rsidP="0074610F">
      <w:r>
        <w:separator/>
      </w:r>
    </w:p>
  </w:footnote>
  <w:footnote w:type="continuationSeparator" w:id="0">
    <w:p w:rsidR="000A2DFD" w:rsidRDefault="000A2DF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A2DFD"/>
    <w:rsid w:val="000B6D5E"/>
    <w:rsid w:val="000D0359"/>
    <w:rsid w:val="00150ED8"/>
    <w:rsid w:val="001724A4"/>
    <w:rsid w:val="00172679"/>
    <w:rsid w:val="001C132C"/>
    <w:rsid w:val="00203869"/>
    <w:rsid w:val="0024713D"/>
    <w:rsid w:val="002741D2"/>
    <w:rsid w:val="002748E9"/>
    <w:rsid w:val="00281D12"/>
    <w:rsid w:val="00287A4C"/>
    <w:rsid w:val="00294A1B"/>
    <w:rsid w:val="002E7BBB"/>
    <w:rsid w:val="00303D44"/>
    <w:rsid w:val="00321170"/>
    <w:rsid w:val="00331038"/>
    <w:rsid w:val="00355166"/>
    <w:rsid w:val="003B47B9"/>
    <w:rsid w:val="003D3EF7"/>
    <w:rsid w:val="00413103"/>
    <w:rsid w:val="00425592"/>
    <w:rsid w:val="004B7DDA"/>
    <w:rsid w:val="004D633C"/>
    <w:rsid w:val="005640ED"/>
    <w:rsid w:val="00575766"/>
    <w:rsid w:val="00575F36"/>
    <w:rsid w:val="00585527"/>
    <w:rsid w:val="005B4DA9"/>
    <w:rsid w:val="005C273D"/>
    <w:rsid w:val="005C2A5D"/>
    <w:rsid w:val="005E3DA1"/>
    <w:rsid w:val="00682938"/>
    <w:rsid w:val="00683D94"/>
    <w:rsid w:val="006A532D"/>
    <w:rsid w:val="006B7433"/>
    <w:rsid w:val="006D561A"/>
    <w:rsid w:val="00707E22"/>
    <w:rsid w:val="0074610F"/>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441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2016-01-25T19:58:00Z</dcterms:created>
  <dcterms:modified xsi:type="dcterms:W3CDTF">2018-06-01T18:47:00Z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2017-11-02T01:31:30.1054657Z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