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A552FD" w:rsidP="00AE567F">
      <w:pPr>
        <w:pStyle w:val="Title"/>
      </w:pPr>
      <w:r>
        <w:t>NLS and Localization</w:t>
      </w:r>
      <w:r w:rsidR="00F70459">
        <w:t xml:space="preserve"> Sample</w:t>
      </w:r>
    </w:p>
    <w:p w:rsidR="00160190" w:rsidRDefault="00160190" w:rsidP="00160190">
      <w:pPr>
        <w:rPr>
          <w:i/>
        </w:rPr>
      </w:pPr>
      <w:r>
        <w:rPr>
          <w:i/>
        </w:rPr>
        <w:t>This sample is compatible with the Windows 10 Creators Update SDK (15063)</w:t>
      </w:r>
    </w:p>
    <w:p w:rsidR="000A74F3" w:rsidRPr="000A74F3" w:rsidRDefault="000A74F3" w:rsidP="000A74F3">
      <w:bookmarkStart w:id="0" w:name="_GoBack"/>
      <w:bookmarkEnd w:id="0"/>
    </w:p>
    <w:p w:rsidR="00764B3A" w:rsidRDefault="00281D12" w:rsidP="00AE567F">
      <w:pPr>
        <w:pStyle w:val="Heading1"/>
        <w:spacing w:before="0"/>
      </w:pPr>
      <w:r>
        <w:t>Description</w:t>
      </w:r>
    </w:p>
    <w:p w:rsidR="00E16AF8" w:rsidRPr="00545A00" w:rsidRDefault="00A552FD" w:rsidP="00545A00">
      <w:r>
        <w:t>This sample demonstrates how to localize package manifest as well as in-title resources. It also demonstrate usage of the NLS APIs.</w:t>
      </w:r>
    </w:p>
    <w:p w:rsidR="005E3DA1" w:rsidRDefault="005E3DA1" w:rsidP="00281D12"/>
    <w:p w:rsidR="00281D12" w:rsidRPr="00CF0BB5" w:rsidRDefault="00603BFB" w:rsidP="005E3DA1">
      <w:pPr>
        <w:pStyle w:val="Heading2"/>
      </w:pPr>
      <w:r>
        <w:t>Main Screen</w:t>
      </w:r>
    </w:p>
    <w:p w:rsidR="00C003D2" w:rsidRDefault="005E3DA1" w:rsidP="005E3DA1">
      <w:r>
        <w:rPr>
          <w:noProof/>
        </w:rPr>
        <w:drawing>
          <wp:inline distT="0" distB="0" distL="0" distR="0" wp14:anchorId="1063D1BE">
            <wp:extent cx="5612376" cy="32972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2376" cy="3297271"/>
                    </a:xfrm>
                    <a:prstGeom prst="rect">
                      <a:avLst/>
                    </a:prstGeom>
                    <a:noFill/>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603BFB">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603BFB">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545A00" w:rsidRPr="00545A00" w:rsidRDefault="00545A00" w:rsidP="00545A00">
      <w:pPr>
        <w:pStyle w:val="Heading1"/>
        <w:rPr>
          <w:rFonts w:eastAsiaTheme="minorHAnsi" w:cs="Times New Roman"/>
          <w:color w:val="auto"/>
          <w:sz w:val="20"/>
          <w:szCs w:val="22"/>
        </w:rPr>
      </w:pPr>
      <w:bookmarkStart w:id="1" w:name="ID2EMD"/>
      <w:bookmarkEnd w:id="1"/>
      <w:r w:rsidRPr="00545A00">
        <w:rPr>
          <w:rFonts w:eastAsiaTheme="minorHAnsi" w:cs="Times New Roman"/>
          <w:color w:val="auto"/>
          <w:sz w:val="20"/>
          <w:szCs w:val="22"/>
        </w:rPr>
        <w:t>This sample is used to demonstrate how to localize a title. It localizes the resources referred in the package manifest as well as the in-title resources. The GetUserDefaultLocaleName() API determines which locale would be the best for localization. This value is based on the console’s locale as well as the locales that the game supports. The GetUserGeoID() and GetGeoInfoW() APIs can be used to retrieve the details about the console locale. The GetUserLocaleEx() API can be used to retrieve more details about the fallback locale in case the console locale is not supported by the title.</w:t>
      </w:r>
    </w:p>
    <w:p w:rsidR="005640ED" w:rsidRDefault="00545A00" w:rsidP="003D3EF7">
      <w:pPr>
        <w:pStyle w:val="Heading1"/>
      </w:pPr>
      <w:r w:rsidRPr="00545A00">
        <w:rPr>
          <w:rFonts w:eastAsiaTheme="minorHAnsi" w:cs="Times New Roman"/>
          <w:color w:val="auto"/>
          <w:sz w:val="20"/>
          <w:szCs w:val="22"/>
        </w:rPr>
        <w:t>The resource parser used in the sample is a basic temporary parser which does not offer any error checking. The resources are listed in a basic format. So please don’t use the parser and the resource files as is, because it hasn’t been tested and the resources format is not a standard format. It is better to use a proper XML format with a better parser for your localized strings. The goal of the sample is to help developers familiarize with the procedure for localizing resources.</w:t>
      </w:r>
    </w:p>
    <w:p w:rsidR="003D3EF7" w:rsidRDefault="003D3EF7" w:rsidP="003D3EF7">
      <w:pPr>
        <w:pStyle w:val="Heading1"/>
      </w:pPr>
      <w:r>
        <w:t>Update history</w:t>
      </w:r>
    </w:p>
    <w:p w:rsidR="003D3EF7" w:rsidRPr="00EB7866" w:rsidRDefault="009C5930" w:rsidP="003D3EF7">
      <w:r>
        <w:t>Initial release May 2016</w:t>
      </w:r>
    </w:p>
    <w:p w:rsidR="00E455FF" w:rsidRDefault="00E455FF" w:rsidP="00E455FF">
      <w:pPr>
        <w:pStyle w:val="Heading1"/>
      </w:pPr>
      <w:r>
        <w:t>Privacy statement</w:t>
      </w:r>
    </w:p>
    <w:p w:rsidR="00E455FF" w:rsidRPr="004B7280" w:rsidRDefault="00E455FF" w:rsidP="00E455F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E455FF" w:rsidRPr="004B7280" w:rsidRDefault="00E455FF" w:rsidP="00E455FF">
      <w:pPr>
        <w:rPr>
          <w:rFonts w:cs="Segoe UI"/>
          <w:szCs w:val="20"/>
        </w:rPr>
      </w:pPr>
    </w:p>
    <w:p w:rsidR="00E455FF" w:rsidRPr="004B7280" w:rsidRDefault="00E455FF" w:rsidP="00E455FF">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58B" w:rsidRDefault="0021658B" w:rsidP="0074610F">
      <w:r>
        <w:separator/>
      </w:r>
    </w:p>
  </w:endnote>
  <w:endnote w:type="continuationSeparator" w:id="0">
    <w:p w:rsidR="0021658B" w:rsidRDefault="0021658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545A0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60190">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5A00">
            <w:rPr>
              <w:rFonts w:cs="Segoe UI"/>
              <w:color w:val="808080" w:themeColor="background1" w:themeShade="80"/>
              <w:szCs w:val="20"/>
            </w:rPr>
            <w:t>NLS and Localization</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6019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6019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58B" w:rsidRDefault="0021658B" w:rsidP="0074610F">
      <w:r>
        <w:separator/>
      </w:r>
    </w:p>
  </w:footnote>
  <w:footnote w:type="continuationSeparator" w:id="0">
    <w:p w:rsidR="0021658B" w:rsidRDefault="0021658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A74F3"/>
    <w:rsid w:val="000B6D5E"/>
    <w:rsid w:val="00150ED8"/>
    <w:rsid w:val="00160190"/>
    <w:rsid w:val="001C132C"/>
    <w:rsid w:val="00203869"/>
    <w:rsid w:val="0021658B"/>
    <w:rsid w:val="0024713D"/>
    <w:rsid w:val="002741D2"/>
    <w:rsid w:val="002748E9"/>
    <w:rsid w:val="00281D12"/>
    <w:rsid w:val="00287A4C"/>
    <w:rsid w:val="00294A1B"/>
    <w:rsid w:val="002E7BBB"/>
    <w:rsid w:val="00303D44"/>
    <w:rsid w:val="00321170"/>
    <w:rsid w:val="00331038"/>
    <w:rsid w:val="00355166"/>
    <w:rsid w:val="003D3EF7"/>
    <w:rsid w:val="00425592"/>
    <w:rsid w:val="004B7DDA"/>
    <w:rsid w:val="00545A00"/>
    <w:rsid w:val="005640ED"/>
    <w:rsid w:val="00575766"/>
    <w:rsid w:val="00575F36"/>
    <w:rsid w:val="00585527"/>
    <w:rsid w:val="005B4DA9"/>
    <w:rsid w:val="005D5EB1"/>
    <w:rsid w:val="005E3DA1"/>
    <w:rsid w:val="00603BFB"/>
    <w:rsid w:val="00683D94"/>
    <w:rsid w:val="006A532D"/>
    <w:rsid w:val="006B7433"/>
    <w:rsid w:val="00707E22"/>
    <w:rsid w:val="0074610F"/>
    <w:rsid w:val="007624A4"/>
    <w:rsid w:val="00764B3A"/>
    <w:rsid w:val="007806DC"/>
    <w:rsid w:val="007A0848"/>
    <w:rsid w:val="00843058"/>
    <w:rsid w:val="00851CC9"/>
    <w:rsid w:val="00886E89"/>
    <w:rsid w:val="00887700"/>
    <w:rsid w:val="00917557"/>
    <w:rsid w:val="00930A32"/>
    <w:rsid w:val="00937E3A"/>
    <w:rsid w:val="00985949"/>
    <w:rsid w:val="00987A88"/>
    <w:rsid w:val="009C5930"/>
    <w:rsid w:val="00A0279B"/>
    <w:rsid w:val="00A552FD"/>
    <w:rsid w:val="00AE567F"/>
    <w:rsid w:val="00B15AAA"/>
    <w:rsid w:val="00B62C6B"/>
    <w:rsid w:val="00BC1F23"/>
    <w:rsid w:val="00CF3729"/>
    <w:rsid w:val="00DC7DFC"/>
    <w:rsid w:val="00DD0606"/>
    <w:rsid w:val="00E16AF8"/>
    <w:rsid w:val="00E455FF"/>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45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288493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17</cp:revision>
  <dcterms:created xsi:type="dcterms:W3CDTF">2016-01-25T19:58:00Z</dcterms:created>
  <dcterms:modified xsi:type="dcterms:W3CDTF">2017-06-23T21:48:00Z</dcterms:modified>
</cp:coreProperties>
</file>