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4B3A" w:rsidRPr="00AE567F" w:rsidRDefault="00655228" w:rsidP="00AE567F">
      <w:pPr>
        <w:pStyle w:val="Title"/>
      </w:pPr>
      <w:r>
        <w:t>Simple HDR</w:t>
      </w:r>
      <w:r w:rsidR="00F70459">
        <w:t xml:space="preserve"> Sample</w:t>
      </w:r>
    </w:p>
    <w:p w:rsidR="00655228" w:rsidRPr="00281D12" w:rsidRDefault="00655228" w:rsidP="00655228">
      <w:pPr>
        <w:rPr>
          <w:i/>
        </w:rPr>
      </w:pPr>
      <w:r>
        <w:rPr>
          <w:i/>
        </w:rPr>
        <w:t>This sample is compatible with the March 2016 Xbox One XDK</w:t>
      </w:r>
      <w:r w:rsidR="00F56FB3">
        <w:rPr>
          <w:i/>
        </w:rPr>
        <w:t>.</w:t>
      </w:r>
    </w:p>
    <w:p w:rsidR="00281D12" w:rsidRDefault="00281D12" w:rsidP="00AE567F">
      <w:pPr>
        <w:pStyle w:val="Heading1"/>
        <w:spacing w:before="0"/>
      </w:pPr>
    </w:p>
    <w:p w:rsidR="00764B3A" w:rsidRDefault="00281D12" w:rsidP="00AE567F">
      <w:pPr>
        <w:pStyle w:val="Heading1"/>
        <w:spacing w:before="0"/>
      </w:pPr>
      <w:r>
        <w:t>Description</w:t>
      </w:r>
    </w:p>
    <w:p w:rsidR="00281D12" w:rsidRDefault="00655228" w:rsidP="00281D12">
      <w:r w:rsidRPr="00655228">
        <w:t>This sample switches a UHD TV into HDR mode and renders an HDR scene with values higher than 1.0f, which will be displayed as brighter than white on a UHD TV. The goal of the sample is to show which APIs to use, how the HDR swapchain should be created, and how different values larger than 1.0f will look on a UHD TV.</w:t>
      </w:r>
    </w:p>
    <w:p w:rsidR="00655228" w:rsidRDefault="00655228" w:rsidP="00281D12"/>
    <w:p w:rsidR="00655228" w:rsidRDefault="006A2A92" w:rsidP="00281D12">
      <w:r>
        <w:rPr>
          <w:noProof/>
        </w:rPr>
        <w:drawing>
          <wp:inline distT="0" distB="0" distL="0" distR="0">
            <wp:extent cx="5943600" cy="3343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281D12" w:rsidRDefault="00281D12" w:rsidP="00281D12"/>
    <w:p w:rsidR="00AE567F" w:rsidRPr="00AE567F" w:rsidRDefault="006A2A92" w:rsidP="00AE567F">
      <w:r>
        <w:rPr>
          <w:noProof/>
        </w:rPr>
        <w:lastRenderedPageBreak/>
        <w:drawing>
          <wp:inline distT="0" distB="0" distL="0" distR="0">
            <wp:extent cx="5943600" cy="3343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rsidR="00AE567F" w:rsidRDefault="00AE567F" w:rsidP="00764B3A">
      <w:pPr>
        <w:rPr>
          <w:rFonts w:ascii="Arial" w:hAnsi="Arial" w:cs="Arial"/>
          <w:lang w:val="en"/>
        </w:rPr>
      </w:pPr>
    </w:p>
    <w:p w:rsidR="00281D12" w:rsidRDefault="00281D12" w:rsidP="00281D12">
      <w:pPr>
        <w:pStyle w:val="Heading1"/>
      </w:pPr>
      <w:r>
        <w:t>Using the sample</w:t>
      </w:r>
    </w:p>
    <w:p w:rsidR="00281D12" w:rsidRDefault="006A2A92" w:rsidP="00281D12">
      <w:r>
        <w:t>The sample uses the following controls.</w:t>
      </w:r>
    </w:p>
    <w:p w:rsidR="00281D12" w:rsidRDefault="00281D12" w:rsidP="00331038"/>
    <w:tbl>
      <w:tblPr>
        <w:tblStyle w:val="XboxOne"/>
        <w:tblpPr w:leftFromText="180" w:rightFromText="180" w:vertAnchor="text" w:horzAnchor="margin" w:tblpY="87"/>
        <w:tblOverlap w:val="never"/>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6" w:space="0" w:color="000000" w:themeColor="text1"/>
          <w:insideV w:val="single" w:sz="6" w:space="0" w:color="000000" w:themeColor="text1"/>
        </w:tblBorders>
        <w:tblLook w:val="0420" w:firstRow="1" w:lastRow="0" w:firstColumn="0" w:lastColumn="0" w:noHBand="0" w:noVBand="1"/>
      </w:tblPr>
      <w:tblGrid>
        <w:gridCol w:w="6476"/>
        <w:gridCol w:w="2874"/>
      </w:tblGrid>
      <w:tr w:rsidR="006A2A92" w:rsidRPr="00C42F0D" w:rsidTr="006A2A92">
        <w:trPr>
          <w:cnfStyle w:val="100000000000" w:firstRow="1" w:lastRow="0" w:firstColumn="0" w:lastColumn="0" w:oddVBand="0" w:evenVBand="0" w:oddHBand="0" w:evenHBand="0" w:firstRowFirstColumn="0" w:firstRowLastColumn="0" w:lastRowFirstColumn="0" w:lastRowLastColumn="0"/>
          <w:trHeight w:val="364"/>
        </w:trPr>
        <w:tc>
          <w:tcPr>
            <w:tcW w:w="3463" w:type="pct"/>
            <w:hideMark/>
          </w:tcPr>
          <w:p w:rsidR="006A2A92" w:rsidRPr="00C42F0D" w:rsidRDefault="006A2A92" w:rsidP="005E6344">
            <w:pPr>
              <w:pStyle w:val="Tableheading"/>
              <w:rPr>
                <w:bCs w:val="0"/>
              </w:rPr>
            </w:pPr>
            <w:r w:rsidRPr="00160A8A">
              <w:t>Action</w:t>
            </w:r>
          </w:p>
        </w:tc>
        <w:tc>
          <w:tcPr>
            <w:tcW w:w="1537" w:type="pct"/>
            <w:hideMark/>
          </w:tcPr>
          <w:p w:rsidR="006A2A92" w:rsidRPr="00C42F0D" w:rsidRDefault="006A2A92" w:rsidP="005E6344">
            <w:pPr>
              <w:pStyle w:val="Tableheading"/>
              <w:rPr>
                <w:bCs w:val="0"/>
              </w:rPr>
            </w:pPr>
            <w:r>
              <w:t>Gamepad</w:t>
            </w:r>
          </w:p>
        </w:tc>
      </w:tr>
      <w:tr w:rsidR="006A2A92" w:rsidRPr="00C42F0D" w:rsidTr="006A2A92">
        <w:trPr>
          <w:trHeight w:val="469"/>
        </w:trPr>
        <w:tc>
          <w:tcPr>
            <w:tcW w:w="3463" w:type="pct"/>
          </w:tcPr>
          <w:p w:rsidR="006A2A92" w:rsidRPr="00C42F0D" w:rsidRDefault="006A2A92" w:rsidP="005E6344">
            <w:pPr>
              <w:pStyle w:val="Tablebody"/>
            </w:pPr>
            <w:r>
              <w:t>Toggle displaying ST.2084 curve</w:t>
            </w:r>
          </w:p>
        </w:tc>
        <w:tc>
          <w:tcPr>
            <w:tcW w:w="1537" w:type="pct"/>
          </w:tcPr>
          <w:p w:rsidR="006A2A92" w:rsidRPr="00C42F0D" w:rsidRDefault="006A2A92" w:rsidP="005E6344">
            <w:pPr>
              <w:pStyle w:val="Tablebody"/>
            </w:pPr>
            <w:r>
              <w:t>A button</w:t>
            </w:r>
          </w:p>
        </w:tc>
      </w:tr>
      <w:tr w:rsidR="006A2A92" w:rsidTr="006A2A92">
        <w:trPr>
          <w:cnfStyle w:val="000000010000" w:firstRow="0" w:lastRow="0" w:firstColumn="0" w:lastColumn="0" w:oddVBand="0" w:evenVBand="0" w:oddHBand="0" w:evenHBand="1" w:firstRowFirstColumn="0" w:firstRowLastColumn="0" w:lastRowFirstColumn="0" w:lastRowLastColumn="0"/>
          <w:trHeight w:val="234"/>
        </w:trPr>
        <w:tc>
          <w:tcPr>
            <w:tcW w:w="3463" w:type="pct"/>
          </w:tcPr>
          <w:p w:rsidR="006A2A92" w:rsidRDefault="006A2A92" w:rsidP="005E6344">
            <w:pPr>
              <w:pStyle w:val="Tablebody"/>
            </w:pPr>
            <w:r>
              <w:t>Toggle displaying only paper white block</w:t>
            </w:r>
          </w:p>
        </w:tc>
        <w:tc>
          <w:tcPr>
            <w:tcW w:w="1537" w:type="pct"/>
          </w:tcPr>
          <w:p w:rsidR="006A2A92" w:rsidRDefault="006A2A92" w:rsidP="005E6344">
            <w:pPr>
              <w:pStyle w:val="Tablebody"/>
            </w:pPr>
            <w:r>
              <w:t>B button</w:t>
            </w:r>
          </w:p>
        </w:tc>
      </w:tr>
      <w:tr w:rsidR="006A2A92" w:rsidTr="006A2A92">
        <w:trPr>
          <w:trHeight w:val="234"/>
        </w:trPr>
        <w:tc>
          <w:tcPr>
            <w:tcW w:w="3463" w:type="pct"/>
          </w:tcPr>
          <w:p w:rsidR="006A2A92" w:rsidRDefault="006A2A92" w:rsidP="005E6344">
            <w:pPr>
              <w:pStyle w:val="Tablebody"/>
            </w:pPr>
            <w:r>
              <w:t>Adjust brightness of paper white</w:t>
            </w:r>
          </w:p>
        </w:tc>
        <w:tc>
          <w:tcPr>
            <w:tcW w:w="1537" w:type="pct"/>
          </w:tcPr>
          <w:p w:rsidR="006A2A92" w:rsidRDefault="006A2A92" w:rsidP="005E6344">
            <w:pPr>
              <w:pStyle w:val="Tablebody"/>
            </w:pPr>
            <w:r>
              <w:t>D-Pad</w:t>
            </w:r>
          </w:p>
        </w:tc>
      </w:tr>
      <w:tr w:rsidR="006A2A92" w:rsidTr="006A2A92">
        <w:trPr>
          <w:cnfStyle w:val="000000010000" w:firstRow="0" w:lastRow="0" w:firstColumn="0" w:lastColumn="0" w:oddVBand="0" w:evenVBand="0" w:oddHBand="0" w:evenHBand="1" w:firstRowFirstColumn="0" w:firstRowLastColumn="0" w:lastRowFirstColumn="0" w:lastRowLastColumn="0"/>
          <w:trHeight w:val="362"/>
        </w:trPr>
        <w:tc>
          <w:tcPr>
            <w:tcW w:w="3463" w:type="pct"/>
          </w:tcPr>
          <w:p w:rsidR="006A2A92" w:rsidRDefault="006A2A92" w:rsidP="005E6344">
            <w:pPr>
              <w:pStyle w:val="Tablebody"/>
            </w:pPr>
            <w:r>
              <w:t>Adjust values</w:t>
            </w:r>
          </w:p>
        </w:tc>
        <w:tc>
          <w:tcPr>
            <w:tcW w:w="1537" w:type="pct"/>
          </w:tcPr>
          <w:p w:rsidR="006A2A92" w:rsidRDefault="006A2A92" w:rsidP="005E6344">
            <w:pPr>
              <w:pStyle w:val="Tablebody"/>
            </w:pPr>
            <w:r>
              <w:t>Left/Right thumb stick</w:t>
            </w:r>
          </w:p>
        </w:tc>
      </w:tr>
      <w:tr w:rsidR="00F0071C" w:rsidTr="006A2A92">
        <w:trPr>
          <w:trHeight w:val="362"/>
        </w:trPr>
        <w:tc>
          <w:tcPr>
            <w:tcW w:w="3463" w:type="pct"/>
          </w:tcPr>
          <w:p w:rsidR="00F0071C" w:rsidRDefault="00F0071C" w:rsidP="005E6344">
            <w:pPr>
              <w:pStyle w:val="Tablebody"/>
            </w:pPr>
            <w:r>
              <w:t>Exit</w:t>
            </w:r>
          </w:p>
        </w:tc>
        <w:tc>
          <w:tcPr>
            <w:tcW w:w="1537" w:type="pct"/>
          </w:tcPr>
          <w:p w:rsidR="00F0071C" w:rsidRDefault="00F0071C" w:rsidP="005E6344">
            <w:pPr>
              <w:pStyle w:val="Tablebody"/>
            </w:pPr>
            <w:r>
              <w:t>View button</w:t>
            </w:r>
          </w:p>
        </w:tc>
      </w:tr>
    </w:tbl>
    <w:p w:rsidR="00E16AF8" w:rsidRDefault="00E16AF8" w:rsidP="00331038"/>
    <w:p w:rsidR="003D3EF7" w:rsidRDefault="003D3EF7" w:rsidP="003D3EF7">
      <w:pPr>
        <w:pStyle w:val="Heading1"/>
      </w:pPr>
      <w:r>
        <w:t>Implementation notes</w:t>
      </w:r>
    </w:p>
    <w:p w:rsidR="005640ED" w:rsidRDefault="006A2A92" w:rsidP="006A2A92">
      <w:bookmarkStart w:id="0" w:name="ID2EMD"/>
      <w:bookmarkEnd w:id="0"/>
      <w:r w:rsidRPr="006A2A92">
        <w:t>This sample uses an API to determine if the attached display is HDR capable. If so, it will switch the display to HDR mode. A very simple HDR scene, with values above 1.0f, is rendered to a FP16 backbuffer and outputs to two different swapchains, one for HDR and one for SDR. Even if the consumer uses an HDR display, the SDR signal is still required for GameDVR and screenshots.</w:t>
      </w:r>
    </w:p>
    <w:p w:rsidR="006A2A92" w:rsidRDefault="006A2A92" w:rsidP="006A2A92"/>
    <w:p w:rsidR="006A2A92" w:rsidRDefault="006A2A92" w:rsidP="006A2A92">
      <w:r>
        <w:t>Requirements for swapchain creation:</w:t>
      </w:r>
    </w:p>
    <w:p w:rsidR="006A2A92" w:rsidRDefault="006A2A92" w:rsidP="006A2A92">
      <w:pPr>
        <w:pStyle w:val="ListParagraph"/>
        <w:numPr>
          <w:ilvl w:val="0"/>
          <w:numId w:val="15"/>
        </w:numPr>
      </w:pPr>
      <w:r>
        <w:t>HDR swapchain has to be 10bit using XGIX_SWAP_CHAIN_FLAG_COLORIMETRY_RGB_BT2020_ST2084</w:t>
      </w:r>
    </w:p>
    <w:p w:rsidR="006A2A92" w:rsidRDefault="006A2A92" w:rsidP="006A2A92"/>
    <w:p w:rsidR="006A2A92" w:rsidRDefault="006A2A92" w:rsidP="006A2A92">
      <w:r>
        <w:t xml:space="preserve">This sample has a modified version of </w:t>
      </w:r>
      <w:r w:rsidR="00774A4C">
        <w:t xml:space="preserve">the </w:t>
      </w:r>
      <w:hyperlink r:id="rId9" w:history="1">
        <w:r w:rsidRPr="006A2A92">
          <w:rPr>
            <w:rStyle w:val="Hyperlink"/>
          </w:rPr>
          <w:t>DeviceResources</w:t>
        </w:r>
      </w:hyperlink>
      <w:r>
        <w:t xml:space="preserve"> </w:t>
      </w:r>
      <w:r w:rsidR="00774A4C">
        <w:t xml:space="preserve">class </w:t>
      </w:r>
      <w:r>
        <w:t>which supports both the HDR and SDR swapchains.</w:t>
      </w:r>
    </w:p>
    <w:p w:rsidR="006A2A92" w:rsidRDefault="006A2A92" w:rsidP="006A2A92"/>
    <w:p w:rsidR="006A2A92" w:rsidRDefault="006A2A92" w:rsidP="006A2A92">
      <w:r w:rsidRPr="00A91596">
        <w:t>Refer to the white paper “</w:t>
      </w:r>
      <w:hyperlink r:id="rId10" w:history="1">
        <w:r w:rsidRPr="00FE74A4">
          <w:rPr>
            <w:rStyle w:val="Hyperlink"/>
          </w:rPr>
          <w:t>HDR on Xbox One</w:t>
        </w:r>
      </w:hyperlink>
      <w:r w:rsidRPr="00A91596">
        <w:t>”.</w:t>
      </w:r>
    </w:p>
    <w:p w:rsidR="006A2A92" w:rsidRDefault="006A2A92" w:rsidP="006A2A92"/>
    <w:p w:rsidR="006A2A92" w:rsidRDefault="006A2A92" w:rsidP="006A2A92">
      <w:r w:rsidRPr="006A2A92">
        <w:t>Up to now, games were outputting and SDR signal using Rec.709 color primaries and Rec.709 gamma curve. One new feature of UHD displays is a wider color gamut (WCG). To use this, we need to use a new color space, Rec.2020 color primaries. Another new feature of UHD displays is high dynamic range (HDR). To use this, we need to use a different curve, the ST.2084 curve. Therefore, to output an HDR signal, it needs to use Rec.2020 color primaries with ST.2084 curve.</w:t>
      </w:r>
    </w:p>
    <w:p w:rsidR="006A2A92" w:rsidRDefault="006A2A92" w:rsidP="006A2A92"/>
    <w:p w:rsidR="006A2A92" w:rsidRPr="006A2A92" w:rsidRDefault="006A2A92" w:rsidP="006A2A92">
      <w:r w:rsidRPr="006A2A92">
        <w:t>For displaying the SDR signal, a simple tonemapping shader is applied to simply clip all values above 1.0f in the HDR scene, and outputs 8bit values using Rec.709 color primaries.</w:t>
      </w:r>
    </w:p>
    <w:p w:rsidR="006A2A92" w:rsidRDefault="006A2A92" w:rsidP="006A2A92"/>
    <w:p w:rsidR="006A2A92" w:rsidRDefault="006A2A92" w:rsidP="006A2A92">
      <w:r w:rsidRPr="006A2A92">
        <w:t>For displaying the HDR signal, a shader is used to rotate the Rec.709 color primaries to Rec.2020 color primaries, and then apply the ST.2084 curve to output 10bit values which the HDR display can correctly display. The whiteness and brightness of the output on an HDR display will be determined by the selected nits value for defining “paper white”. SDR specs define “paper white” as 80nits, but this is for a cinema with a dark environment. Consumers today are used to much brighter whites, e.g. ~550 nits for a smartphone(so that it can be viewed in sunlight), 200-300 nits for a PC monitor, 120-150 nits for an SDR TV, etc. The nits for “paper white” can be adjusted in the sample using the DPad up/down. Displaying bright values next to white can be deceiving to the eye, so you can use the A button to toggle if you only want to see the “paper white” block.</w:t>
      </w:r>
    </w:p>
    <w:p w:rsidR="006A2A92" w:rsidRDefault="006A2A92" w:rsidP="006A2A92"/>
    <w:p w:rsidR="006A2A92" w:rsidRDefault="006A2A92" w:rsidP="006A2A92">
      <w:r>
        <w:t>The sample has two modes:</w:t>
      </w:r>
    </w:p>
    <w:p w:rsidR="006A2A92" w:rsidRDefault="006A2A92" w:rsidP="006A2A92">
      <w:pPr>
        <w:pStyle w:val="ListParagraph"/>
        <w:numPr>
          <w:ilvl w:val="0"/>
          <w:numId w:val="16"/>
        </w:numPr>
      </w:pPr>
      <w:r>
        <w:t>Render blocks with specific values in the scene</w:t>
      </w:r>
    </w:p>
    <w:p w:rsidR="006A2A92" w:rsidRDefault="006A2A92" w:rsidP="006A2A92">
      <w:pPr>
        <w:pStyle w:val="ListParagraph"/>
        <w:numPr>
          <w:ilvl w:val="0"/>
          <w:numId w:val="16"/>
        </w:numPr>
      </w:pPr>
      <w:r>
        <w:t>Render ST.2084 curve with specific brightness values (nits)</w:t>
      </w:r>
    </w:p>
    <w:p w:rsidR="003D3EF7" w:rsidRDefault="003D3EF7" w:rsidP="003D3EF7">
      <w:pPr>
        <w:pStyle w:val="Heading1"/>
      </w:pPr>
      <w:r>
        <w:t>Known issues</w:t>
      </w:r>
    </w:p>
    <w:p w:rsidR="006A2A92" w:rsidRDefault="00D23333" w:rsidP="006A2A92">
      <w:r>
        <w:t>None</w:t>
      </w:r>
      <w:bookmarkStart w:id="1" w:name="_GoBack"/>
      <w:bookmarkEnd w:id="1"/>
    </w:p>
    <w:p w:rsidR="003D3EF7" w:rsidRDefault="003D3EF7" w:rsidP="003D3EF7">
      <w:pPr>
        <w:pStyle w:val="Heading1"/>
      </w:pPr>
      <w:r>
        <w:t>Update history</w:t>
      </w:r>
    </w:p>
    <w:p w:rsidR="006A2A92" w:rsidRDefault="006A2A92" w:rsidP="006A2A92">
      <w:r>
        <w:t>Initial release March 2016</w:t>
      </w:r>
    </w:p>
    <w:p w:rsidR="002B10AB" w:rsidRPr="00EB7866" w:rsidRDefault="002B10AB" w:rsidP="006A2A92">
      <w:r>
        <w:t>4K support and general cleanup and June 2017</w:t>
      </w:r>
    </w:p>
    <w:p w:rsidR="00192938" w:rsidRDefault="00192938" w:rsidP="00192938">
      <w:pPr>
        <w:pStyle w:val="Heading1"/>
      </w:pPr>
      <w:r>
        <w:t>Privacy Statement</w:t>
      </w:r>
    </w:p>
    <w:p w:rsidR="00192938" w:rsidRDefault="00192938" w:rsidP="00192938">
      <w:pPr>
        <w:rPr>
          <w:rFonts w:cs="Segoe UI"/>
          <w:szCs w:val="20"/>
        </w:rPr>
      </w:pPr>
      <w:r>
        <w:rPr>
          <w:rFonts w:cs="Segoe UI"/>
          <w:szCs w:val="20"/>
        </w:rPr>
        <w:t>When compiling and running a sample, the file name of the sample executable will be sent to Microsoft to help track sample usage. To opt-out of this data collection, you can remove the block of code in Main.cpp labeled “Sample Usage Telemetry”.</w:t>
      </w:r>
    </w:p>
    <w:p w:rsidR="00192938" w:rsidRDefault="00192938" w:rsidP="00192938">
      <w:pPr>
        <w:rPr>
          <w:rFonts w:cs="Segoe UI"/>
          <w:szCs w:val="20"/>
        </w:rPr>
      </w:pPr>
    </w:p>
    <w:p w:rsidR="00192938" w:rsidRDefault="00192938" w:rsidP="00192938">
      <w:pPr>
        <w:rPr>
          <w:rFonts w:cs="Segoe UI"/>
          <w:szCs w:val="20"/>
        </w:rPr>
      </w:pPr>
      <w:r>
        <w:rPr>
          <w:rFonts w:cs="Segoe UI"/>
          <w:szCs w:val="20"/>
        </w:rPr>
        <w:t xml:space="preserve">For more information about Microsoft’s privacy policies in general, see the </w:t>
      </w:r>
      <w:hyperlink r:id="rId11" w:history="1">
        <w:r>
          <w:rPr>
            <w:rStyle w:val="Hyperlink"/>
            <w:rFonts w:cs="Segoe UI"/>
            <w:szCs w:val="20"/>
          </w:rPr>
          <w:t>Microsoft Privacy Statement</w:t>
        </w:r>
      </w:hyperlink>
      <w:r>
        <w:rPr>
          <w:rFonts w:cs="Segoe UI"/>
          <w:szCs w:val="20"/>
        </w:rPr>
        <w:t>.</w:t>
      </w:r>
    </w:p>
    <w:p w:rsidR="00192938" w:rsidRPr="00331038" w:rsidRDefault="00192938" w:rsidP="00331038"/>
    <w:sectPr w:rsidR="00192938" w:rsidRPr="00331038" w:rsidSect="00DD79DA">
      <w:footerReference w:type="default" r:id="rId12"/>
      <w:headerReference w:type="first" r:id="rId13"/>
      <w:footerReference w:type="first" r:id="rId14"/>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0310" w:rsidRDefault="00040310" w:rsidP="0074610F">
      <w:r>
        <w:separator/>
      </w:r>
    </w:p>
  </w:endnote>
  <w:endnote w:type="continuationSeparator" w:id="0">
    <w:p w:rsidR="00040310" w:rsidRDefault="00040310"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rsidTr="00E37847">
      <w:tc>
        <w:tcPr>
          <w:tcW w:w="4500" w:type="pct"/>
          <w:tcBorders>
            <w:top w:val="single" w:sz="4" w:space="0" w:color="808080" w:themeColor="background1" w:themeShade="80"/>
          </w:tcBorders>
          <w:shd w:val="clear" w:color="auto" w:fill="auto"/>
        </w:tcPr>
        <w:p w:rsidR="00843058" w:rsidRPr="00097CCA" w:rsidRDefault="00281D12" w:rsidP="00DD79DA">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D23333">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097CCA" w:rsidRPr="00097CCA">
            <w:rPr>
              <w:noProof/>
              <w:color w:val="808080" w:themeColor="background1" w:themeShade="80"/>
              <w:szCs w:val="20"/>
            </w:rPr>
            <w:drawing>
              <wp:anchor distT="0" distB="0" distL="114300" distR="114300" simplePos="0" relativeHeight="251661312" behindDoc="0" locked="0" layoutInCell="1" allowOverlap="0" wp14:anchorId="208462C4" wp14:editId="11CDAF02">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585527">
            <w:rPr>
              <w:rFonts w:cs="Segoe UI"/>
              <w:color w:val="808080" w:themeColor="background1" w:themeShade="80"/>
              <w:szCs w:val="20"/>
            </w:rPr>
            <w:t>SAMPLE</w:t>
          </w:r>
          <w:r w:rsidR="00843058" w:rsidRPr="00097CCA">
            <w:rPr>
              <w:rFonts w:cs="Segoe UI"/>
              <w:color w:val="808080" w:themeColor="background1" w:themeShade="80"/>
              <w:szCs w:val="20"/>
            </w:rPr>
            <w:t xml:space="preserve">: </w:t>
          </w:r>
          <w:r w:rsidR="00DD79DA">
            <w:rPr>
              <w:rFonts w:cs="Segoe UI"/>
              <w:color w:val="808080" w:themeColor="background1" w:themeShade="80"/>
              <w:szCs w:val="20"/>
            </w:rPr>
            <w:t>SimpleHDR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23333">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rsidTr="00F70459">
      <w:tc>
        <w:tcPr>
          <w:tcW w:w="4500" w:type="pct"/>
          <w:tcBorders>
            <w:top w:val="single" w:sz="4" w:space="0" w:color="808080" w:themeColor="background1" w:themeShade="80"/>
          </w:tcBorders>
          <w:shd w:val="clear" w:color="auto" w:fill="auto"/>
        </w:tcPr>
        <w:p w:rsidR="00843058" w:rsidRPr="00097CCA" w:rsidRDefault="00281D12" w:rsidP="00655228">
          <w:pPr>
            <w:pStyle w:val="Footer"/>
            <w:jc w:val="right"/>
            <w:rPr>
              <w:rFonts w:cs="Segoe UI"/>
              <w:color w:val="808080" w:themeColor="background1" w:themeShade="80"/>
              <w:szCs w:val="20"/>
            </w:rPr>
          </w:pPr>
          <w:r w:rsidRPr="00BA2F52">
            <w:rPr>
              <w:rFonts w:cs="Segoe UI"/>
              <w:color w:val="808080" w:themeColor="background1" w:themeShade="80"/>
              <w:sz w:val="16"/>
              <w:szCs w:val="16"/>
            </w:rPr>
            <w:t xml:space="preserve">© </w:t>
          </w:r>
          <w:r w:rsidRPr="00BA2F52">
            <w:rPr>
              <w:rFonts w:cs="Segoe UI"/>
              <w:color w:val="808080" w:themeColor="background1" w:themeShade="80"/>
              <w:sz w:val="16"/>
              <w:szCs w:val="16"/>
            </w:rPr>
            <w:fldChar w:fldCharType="begin"/>
          </w:r>
          <w:r w:rsidRPr="00BA2F52">
            <w:rPr>
              <w:rFonts w:cs="Segoe UI"/>
              <w:color w:val="808080" w:themeColor="background1" w:themeShade="80"/>
              <w:sz w:val="16"/>
              <w:szCs w:val="16"/>
            </w:rPr>
            <w:instrText xml:space="preserve"> DATE \@ "yyyy" </w:instrText>
          </w:r>
          <w:r w:rsidRPr="00BA2F52">
            <w:rPr>
              <w:rFonts w:cs="Segoe UI"/>
              <w:color w:val="808080" w:themeColor="background1" w:themeShade="80"/>
              <w:sz w:val="16"/>
              <w:szCs w:val="16"/>
            </w:rPr>
            <w:fldChar w:fldCharType="separate"/>
          </w:r>
          <w:r w:rsidR="00D23333">
            <w:rPr>
              <w:rFonts w:cs="Segoe UI"/>
              <w:noProof/>
              <w:color w:val="808080" w:themeColor="background1" w:themeShade="80"/>
              <w:sz w:val="16"/>
              <w:szCs w:val="16"/>
            </w:rPr>
            <w:t>2017</w:t>
          </w:r>
          <w:r w:rsidRPr="00BA2F52">
            <w:rPr>
              <w:rFonts w:cs="Segoe UI"/>
              <w:color w:val="808080" w:themeColor="background1" w:themeShade="80"/>
              <w:sz w:val="16"/>
              <w:szCs w:val="16"/>
            </w:rPr>
            <w:fldChar w:fldCharType="end"/>
          </w:r>
          <w:r w:rsidRPr="00BA2F52">
            <w:rPr>
              <w:rFonts w:cs="Segoe UI"/>
              <w:color w:val="808080" w:themeColor="background1" w:themeShade="80"/>
              <w:sz w:val="16"/>
              <w:szCs w:val="16"/>
            </w:rPr>
            <w:t xml:space="preserve"> Microsoft. All rights reserved.</w:t>
          </w:r>
          <w:r w:rsidR="00843058" w:rsidRPr="00097CCA">
            <w:rPr>
              <w:noProof/>
              <w:color w:val="808080" w:themeColor="background1" w:themeShade="80"/>
              <w:szCs w:val="20"/>
            </w:rPr>
            <w:drawing>
              <wp:anchor distT="0" distB="0" distL="114300" distR="114300" simplePos="0" relativeHeight="251659264" behindDoc="0" locked="0" layoutInCell="1" allowOverlap="0" wp14:anchorId="75009F5E" wp14:editId="33EECAD1">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rFonts w:cs="Segoe UI"/>
              <w:color w:val="808080" w:themeColor="background1" w:themeShade="80"/>
              <w:sz w:val="16"/>
              <w:szCs w:val="16"/>
            </w:rPr>
            <w:t xml:space="preserve"> </w:t>
          </w:r>
          <w:r w:rsidRPr="00281D12">
            <w:rPr>
              <w:rFonts w:cs="Segoe UI"/>
              <w:color w:val="808080" w:themeColor="background1" w:themeShade="80"/>
              <w:szCs w:val="20"/>
            </w:rPr>
            <w:t xml:space="preserve">| </w:t>
          </w:r>
          <w:r w:rsidR="00655228">
            <w:rPr>
              <w:rFonts w:cs="Segoe UI"/>
              <w:color w:val="808080" w:themeColor="background1" w:themeShade="80"/>
              <w:szCs w:val="20"/>
            </w:rPr>
            <w:t>SimpleHDR</w:t>
          </w:r>
        </w:p>
      </w:tc>
      <w:tc>
        <w:tcPr>
          <w:tcW w:w="500" w:type="pct"/>
          <w:tcBorders>
            <w:top w:val="single" w:sz="4" w:space="0" w:color="808080" w:themeColor="background1" w:themeShade="80"/>
          </w:tcBorders>
          <w:shd w:val="clear" w:color="auto" w:fill="auto"/>
        </w:tcPr>
        <w:p w:rsidR="00843058" w:rsidRPr="00097CCA" w:rsidRDefault="00843058" w:rsidP="00843058">
          <w:pPr>
            <w:pStyle w:val="Header"/>
            <w:jc w:val="right"/>
            <w:rPr>
              <w:rFonts w:cs="Segoe UI"/>
              <w:b/>
              <w:color w:val="808080" w:themeColor="background1" w:themeShade="80"/>
              <w:szCs w:val="20"/>
            </w:rPr>
          </w:pPr>
          <w:r w:rsidRPr="00097CCA">
            <w:rPr>
              <w:rFonts w:cs="Segoe UI"/>
              <w:b/>
              <w:color w:val="808080" w:themeColor="background1" w:themeShade="80"/>
              <w:szCs w:val="20"/>
            </w:rPr>
            <w:fldChar w:fldCharType="begin"/>
          </w:r>
          <w:r w:rsidRPr="00097CCA">
            <w:rPr>
              <w:rFonts w:cs="Segoe UI"/>
              <w:b/>
              <w:color w:val="808080" w:themeColor="background1" w:themeShade="80"/>
              <w:szCs w:val="20"/>
            </w:rPr>
            <w:instrText xml:space="preserve"> PAGE   \* MERGEFORMAT </w:instrText>
          </w:r>
          <w:r w:rsidRPr="00097CCA">
            <w:rPr>
              <w:rFonts w:cs="Segoe UI"/>
              <w:b/>
              <w:color w:val="808080" w:themeColor="background1" w:themeShade="80"/>
              <w:szCs w:val="20"/>
            </w:rPr>
            <w:fldChar w:fldCharType="separate"/>
          </w:r>
          <w:r w:rsidR="00DD79DA">
            <w:rPr>
              <w:rFonts w:cs="Segoe UI"/>
              <w:b/>
              <w:noProof/>
              <w:color w:val="808080" w:themeColor="background1" w:themeShade="80"/>
              <w:szCs w:val="20"/>
            </w:rPr>
            <w:t>1</w:t>
          </w:r>
          <w:r w:rsidRPr="00097CCA">
            <w:rPr>
              <w:rFonts w:cs="Segoe UI"/>
              <w:b/>
              <w:noProof/>
              <w:color w:val="808080" w:themeColor="background1" w:themeShade="80"/>
              <w:szCs w:val="20"/>
            </w:rPr>
            <w:fldChar w:fldCharType="end"/>
          </w:r>
        </w:p>
      </w:tc>
    </w:tr>
  </w:tbl>
  <w:p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0310" w:rsidRDefault="00040310" w:rsidP="0074610F">
      <w:r>
        <w:separator/>
      </w:r>
    </w:p>
  </w:footnote>
  <w:footnote w:type="continuationSeparator" w:id="0">
    <w:p w:rsidR="00040310" w:rsidRDefault="00040310"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2240" w:type="dxa"/>
      <w:tblInd w:w="-1445" w:type="dxa"/>
      <w:tblLook w:val="04A0" w:firstRow="1" w:lastRow="0" w:firstColumn="1" w:lastColumn="0" w:noHBand="0" w:noVBand="1"/>
    </w:tblPr>
    <w:tblGrid>
      <w:gridCol w:w="12240"/>
    </w:tblGrid>
    <w:tr w:rsidR="00CF3729" w:rsidRPr="00CF3729" w:rsidTr="000B6D5E">
      <w:trPr>
        <w:trHeight w:val="1340"/>
      </w:trPr>
      <w:tc>
        <w:tcPr>
          <w:tcW w:w="12240" w:type="dxa"/>
          <w:tcBorders>
            <w:top w:val="nil"/>
            <w:left w:val="nil"/>
            <w:bottom w:val="nil"/>
            <w:right w:val="nil"/>
          </w:tcBorders>
          <w:shd w:val="clear" w:color="auto" w:fill="323232"/>
        </w:tcPr>
        <w:p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rsidTr="000B6D5E">
            <w:trPr>
              <w:gridAfter w:val="2"/>
              <w:wAfter w:w="2008" w:type="dxa"/>
            </w:trPr>
            <w:tc>
              <w:tcPr>
                <w:tcW w:w="1152" w:type="dxa"/>
                <w:shd w:val="clear" w:color="auto" w:fill="323232"/>
              </w:tcPr>
              <w:p w:rsidR="000B6D5E" w:rsidRDefault="000B6D5E" w:rsidP="00CF3729">
                <w:pPr>
                  <w:pStyle w:val="atgtitle"/>
                  <w:rPr>
                    <w:sz w:val="2"/>
                    <w:szCs w:val="2"/>
                  </w:rPr>
                </w:pPr>
              </w:p>
              <w:p w:rsidR="000B6D5E" w:rsidRPr="000B6D5E" w:rsidRDefault="000B6D5E" w:rsidP="000B6D5E"/>
              <w:p w:rsidR="000B6D5E" w:rsidRDefault="000B6D5E" w:rsidP="000B6D5E"/>
              <w:p w:rsidR="000B6D5E" w:rsidRPr="000B6D5E" w:rsidRDefault="000B6D5E" w:rsidP="000B6D5E">
                <w:pPr>
                  <w:jc w:val="center"/>
                </w:pPr>
              </w:p>
            </w:tc>
            <w:tc>
              <w:tcPr>
                <w:tcW w:w="19" w:type="dxa"/>
                <w:shd w:val="clear" w:color="auto" w:fill="323232"/>
              </w:tcPr>
              <w:p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Default="000B6D5E" w:rsidP="00CF3729">
                <w:pPr>
                  <w:pStyle w:val="atgtitle"/>
                  <w:rPr>
                    <w:sz w:val="2"/>
                    <w:szCs w:val="2"/>
                  </w:rPr>
                </w:pPr>
              </w:p>
              <w:p w:rsidR="000B6D5E" w:rsidRPr="00CF3729" w:rsidRDefault="000B6D5E" w:rsidP="00CF3729">
                <w:pPr>
                  <w:pStyle w:val="atgtitle"/>
                  <w:rPr>
                    <w:sz w:val="2"/>
                    <w:szCs w:val="2"/>
                  </w:rPr>
                </w:pPr>
                <w:r w:rsidRPr="00CF3729">
                  <w:rPr>
                    <w:sz w:val="2"/>
                    <w:szCs w:val="2"/>
                  </w:rPr>
                  <w:t xml:space="preserve">         </w:t>
                </w:r>
              </w:p>
              <w:p w:rsidR="000B6D5E" w:rsidRPr="00CF3729" w:rsidRDefault="000B6D5E" w:rsidP="00CF3729">
                <w:pPr>
                  <w:rPr>
                    <w:sz w:val="2"/>
                    <w:szCs w:val="2"/>
                  </w:rPr>
                </w:pPr>
                <w:r>
                  <w:rPr>
                    <w:noProof/>
                  </w:rPr>
                  <w:drawing>
                    <wp:inline distT="0" distB="0" distL="0" distR="0" wp14:anchorId="4662326B" wp14:editId="4035146E">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rsidR="000B6D5E" w:rsidRPr="00CF3729" w:rsidRDefault="000B6D5E" w:rsidP="00CF3729">
                <w:pPr>
                  <w:rPr>
                    <w:sz w:val="2"/>
                    <w:szCs w:val="2"/>
                  </w:rPr>
                </w:pPr>
              </w:p>
            </w:tc>
          </w:tr>
          <w:tr w:rsidR="000B6D5E" w:rsidRPr="00CF3729" w:rsidTr="000B6D5E">
            <w:trPr>
              <w:trHeight w:val="90"/>
            </w:trPr>
            <w:tc>
              <w:tcPr>
                <w:tcW w:w="1152" w:type="dxa"/>
                <w:shd w:val="clear" w:color="auto" w:fill="323232"/>
              </w:tcPr>
              <w:p w:rsidR="000B6D5E" w:rsidRPr="00CF3729" w:rsidRDefault="000B6D5E" w:rsidP="00CF3729">
                <w:pPr>
                  <w:pStyle w:val="atgformheaders"/>
                  <w:rPr>
                    <w:sz w:val="2"/>
                    <w:szCs w:val="2"/>
                  </w:rPr>
                </w:pPr>
              </w:p>
            </w:tc>
            <w:tc>
              <w:tcPr>
                <w:tcW w:w="2027" w:type="dxa"/>
                <w:gridSpan w:val="2"/>
                <w:shd w:val="clear" w:color="auto" w:fill="323232"/>
              </w:tcPr>
              <w:p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rsidR="000B6D5E" w:rsidRPr="00CF3729" w:rsidRDefault="000B6D5E" w:rsidP="00CF3729">
                <w:pPr>
                  <w:pStyle w:val="atgformheaders"/>
                  <w:rPr>
                    <w:sz w:val="2"/>
                    <w:szCs w:val="2"/>
                  </w:rPr>
                </w:pPr>
                <w:r w:rsidRPr="00CF3729">
                  <w:rPr>
                    <w:sz w:val="2"/>
                    <w:szCs w:val="2"/>
                  </w:rPr>
                  <w:t xml:space="preserve">            </w:t>
                </w:r>
              </w:p>
            </w:tc>
          </w:tr>
        </w:tbl>
        <w:p w:rsidR="00CF3729" w:rsidRPr="00CF3729" w:rsidRDefault="00CF3729">
          <w:pPr>
            <w:pStyle w:val="Header"/>
            <w:rPr>
              <w:sz w:val="2"/>
              <w:szCs w:val="2"/>
            </w:rPr>
          </w:pPr>
        </w:p>
      </w:tc>
    </w:tr>
  </w:tbl>
  <w:p w:rsidR="00CF3729" w:rsidRDefault="00CF3729">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Default="000B6D5E">
    <w:pPr>
      <w:pStyle w:val="Header"/>
      <w:rPr>
        <w:sz w:val="2"/>
        <w:szCs w:val="2"/>
      </w:rPr>
    </w:pPr>
  </w:p>
  <w:p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0F5D0EDE"/>
    <w:multiLevelType w:val="hybridMultilevel"/>
    <w:tmpl w:val="1E44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4" w15:restartNumberingAfterBreak="0">
    <w:nsid w:val="2D566E58"/>
    <w:multiLevelType w:val="hybridMultilevel"/>
    <w:tmpl w:val="D4E6F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7"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8"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4"/>
  </w:num>
  <w:num w:numId="4">
    <w:abstractNumId w:val="12"/>
  </w:num>
  <w:num w:numId="5">
    <w:abstractNumId w:val="11"/>
  </w:num>
  <w:num w:numId="6">
    <w:abstractNumId w:val="13"/>
  </w:num>
  <w:num w:numId="7">
    <w:abstractNumId w:val="8"/>
  </w:num>
  <w:num w:numId="8">
    <w:abstractNumId w:val="5"/>
  </w:num>
  <w:num w:numId="9">
    <w:abstractNumId w:val="9"/>
  </w:num>
  <w:num w:numId="10">
    <w:abstractNumId w:val="6"/>
  </w:num>
  <w:num w:numId="11">
    <w:abstractNumId w:val="3"/>
  </w:num>
  <w:num w:numId="12">
    <w:abstractNumId w:val="1"/>
  </w:num>
  <w:num w:numId="13">
    <w:abstractNumId w:val="7"/>
  </w:num>
  <w:num w:numId="14">
    <w:abstractNumId w:val="0"/>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729"/>
    <w:rsid w:val="00040310"/>
    <w:rsid w:val="00097CCA"/>
    <w:rsid w:val="000B6D5E"/>
    <w:rsid w:val="000C7084"/>
    <w:rsid w:val="00110997"/>
    <w:rsid w:val="00150ED8"/>
    <w:rsid w:val="00192938"/>
    <w:rsid w:val="001C132C"/>
    <w:rsid w:val="001F5D9E"/>
    <w:rsid w:val="00203869"/>
    <w:rsid w:val="0024713D"/>
    <w:rsid w:val="002741D2"/>
    <w:rsid w:val="002748E9"/>
    <w:rsid w:val="00281D12"/>
    <w:rsid w:val="00287A4C"/>
    <w:rsid w:val="00294A1B"/>
    <w:rsid w:val="002B10AB"/>
    <w:rsid w:val="002E7BBB"/>
    <w:rsid w:val="00303D44"/>
    <w:rsid w:val="00321170"/>
    <w:rsid w:val="00331038"/>
    <w:rsid w:val="00355166"/>
    <w:rsid w:val="00397AD0"/>
    <w:rsid w:val="003D3EF7"/>
    <w:rsid w:val="00425592"/>
    <w:rsid w:val="004B7DDA"/>
    <w:rsid w:val="005640ED"/>
    <w:rsid w:val="00575766"/>
    <w:rsid w:val="00575F36"/>
    <w:rsid w:val="00585527"/>
    <w:rsid w:val="005B4DA9"/>
    <w:rsid w:val="005E3DA1"/>
    <w:rsid w:val="00655228"/>
    <w:rsid w:val="006A2A92"/>
    <w:rsid w:val="006A532D"/>
    <w:rsid w:val="006B7433"/>
    <w:rsid w:val="006D506E"/>
    <w:rsid w:val="00707E22"/>
    <w:rsid w:val="0074610F"/>
    <w:rsid w:val="007624A4"/>
    <w:rsid w:val="00764B3A"/>
    <w:rsid w:val="00774A4C"/>
    <w:rsid w:val="007806DC"/>
    <w:rsid w:val="007A0848"/>
    <w:rsid w:val="007B3123"/>
    <w:rsid w:val="00802E05"/>
    <w:rsid w:val="00843058"/>
    <w:rsid w:val="00886E89"/>
    <w:rsid w:val="00887700"/>
    <w:rsid w:val="00917557"/>
    <w:rsid w:val="00985949"/>
    <w:rsid w:val="00987A88"/>
    <w:rsid w:val="00AA4DBF"/>
    <w:rsid w:val="00AE567F"/>
    <w:rsid w:val="00B15AAA"/>
    <w:rsid w:val="00B62C6B"/>
    <w:rsid w:val="00BC1F23"/>
    <w:rsid w:val="00CF3729"/>
    <w:rsid w:val="00D23333"/>
    <w:rsid w:val="00DC7DFC"/>
    <w:rsid w:val="00DD0606"/>
    <w:rsid w:val="00DD79DA"/>
    <w:rsid w:val="00E16AF8"/>
    <w:rsid w:val="00E6273F"/>
    <w:rsid w:val="00EE2624"/>
    <w:rsid w:val="00F0071C"/>
    <w:rsid w:val="00F40AC7"/>
    <w:rsid w:val="00F56FB3"/>
    <w:rsid w:val="00F70459"/>
    <w:rsid w:val="00FE7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ACB769"/>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rPr>
  </w:style>
  <w:style w:type="paragraph" w:styleId="NoSpacing">
    <w:name w:val="No Spacing"/>
    <w:uiPriority w:val="1"/>
    <w:qFormat/>
    <w:rsid w:val="002741D2"/>
    <w:pPr>
      <w:spacing w:after="0" w:line="240" w:lineRule="auto"/>
    </w:pPr>
    <w:rPr>
      <w:rFonts w:ascii="Segoe UI" w:hAnsi="Segoe UI" w:cs="Times New Roma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b/>
      <w:sz w:val="24"/>
      <w:szCs w:val="26"/>
    </w:rPr>
  </w:style>
  <w:style w:type="character" w:styleId="SubtleEmphasis">
    <w:name w:val="Subtle Emphasis"/>
    <w:aliases w:val="Image Subtext"/>
    <w:uiPriority w:val="19"/>
    <w:rsid w:val="00707E22"/>
    <w:rPr>
      <w:rFonts w:ascii="Segoe UI" w:hAnsi="Segoe UI"/>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Times New Roman" w:hAnsi="Segoe UI Light"/>
      <w:sz w:val="44"/>
      <w:szCs w:val="24"/>
    </w:rPr>
  </w:style>
  <w:style w:type="character" w:customStyle="1" w:styleId="Heading0Char">
    <w:name w:val="Heading 0 Char"/>
    <w:basedOn w:val="DefaultParagraphFont"/>
    <w:link w:val="Heading0"/>
    <w:rsid w:val="00764B3A"/>
    <w:rPr>
      <w:rFonts w:ascii="Segoe UI Light" w:eastAsia="Times New Roma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bCs/>
      <w:color w:val="C00000"/>
      <w:szCs w:val="24"/>
    </w:rPr>
  </w:style>
  <w:style w:type="character" w:customStyle="1" w:styleId="ImagetextChar">
    <w:name w:val="Image text Char"/>
    <w:basedOn w:val="ActionItemChar"/>
    <w:link w:val="Imagetext"/>
    <w:rsid w:val="00AE567F"/>
    <w:rPr>
      <w:rFonts w:ascii="Segoe UI" w:hAnsi="Segoe UI"/>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6A2A9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rivacy.microsoft.com/en-us/privacystatement/"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aka.ms/hdr-on-xbox-one" TargetMode="External"/><Relationship Id="rId4" Type="http://schemas.openxmlformats.org/officeDocument/2006/relationships/webSettings" Target="webSettings.xml"/><Relationship Id="rId9" Type="http://schemas.openxmlformats.org/officeDocument/2006/relationships/hyperlink" Target="https://github.com/Microsoft/DirectXTK/wiki/DeviceResources"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Claude Marais</cp:lastModifiedBy>
  <cp:revision>19</cp:revision>
  <dcterms:created xsi:type="dcterms:W3CDTF">2016-01-25T19:58:00Z</dcterms:created>
  <dcterms:modified xsi:type="dcterms:W3CDTF">2017-06-13T15:45:00Z</dcterms:modified>
</cp:coreProperties>
</file>