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EAA0" w14:textId="77777777" w:rsidR="00515BEB" w:rsidRPr="00B774BA" w:rsidRDefault="00000000">
      <w:pPr>
        <w:pStyle w:val="aa"/>
        <w:jc w:val="center"/>
        <w:rPr>
          <w:rFonts w:ascii="黑体" w:eastAsia="黑体" w:hAnsi="黑体"/>
          <w:lang w:eastAsia="zh-CN"/>
        </w:rPr>
      </w:pPr>
      <w:r w:rsidRPr="00B774BA">
        <w:rPr>
          <w:rFonts w:ascii="黑体" w:eastAsia="黑体" w:hAnsi="黑体"/>
          <w:lang w:eastAsia="zh-CN"/>
        </w:rPr>
        <w:t>服</w:t>
      </w:r>
      <w:r w:rsidRPr="00B774BA">
        <w:rPr>
          <w:rFonts w:ascii="黑体" w:eastAsia="黑体" w:hAnsi="黑体" w:cs="微软雅黑" w:hint="eastAsia"/>
          <w:lang w:eastAsia="zh-CN"/>
        </w:rPr>
        <w:t>务</w:t>
      </w:r>
      <w:r w:rsidRPr="00B774BA">
        <w:rPr>
          <w:rFonts w:ascii="黑体" w:eastAsia="黑体" w:hAnsi="黑体" w:cs="MS Gothic" w:hint="eastAsia"/>
          <w:lang w:eastAsia="zh-CN"/>
        </w:rPr>
        <w:t>化后的</w:t>
      </w:r>
      <w:r w:rsidRPr="00B774BA">
        <w:rPr>
          <w:rFonts w:ascii="黑体" w:eastAsia="黑体" w:hAnsi="黑体" w:cs="微软雅黑" w:hint="eastAsia"/>
          <w:lang w:eastAsia="zh-CN"/>
        </w:rPr>
        <w:t>软</w:t>
      </w:r>
      <w:r w:rsidRPr="00B774BA">
        <w:rPr>
          <w:rFonts w:ascii="黑体" w:eastAsia="黑体" w:hAnsi="黑体" w:cs="MS Gothic" w:hint="eastAsia"/>
          <w:lang w:eastAsia="zh-CN"/>
        </w:rPr>
        <w:t>件</w:t>
      </w:r>
      <w:r w:rsidRPr="00B774BA">
        <w:rPr>
          <w:rFonts w:ascii="黑体" w:eastAsia="黑体" w:hAnsi="黑体" w:cs="微软雅黑" w:hint="eastAsia"/>
          <w:lang w:eastAsia="zh-CN"/>
        </w:rPr>
        <w:t>发</w:t>
      </w:r>
      <w:r w:rsidRPr="00B774BA">
        <w:rPr>
          <w:rFonts w:ascii="黑体" w:eastAsia="黑体" w:hAnsi="黑体" w:cs="MS Gothic" w:hint="eastAsia"/>
          <w:lang w:eastAsia="zh-CN"/>
        </w:rPr>
        <w:t>展新特征</w:t>
      </w:r>
      <w:r w:rsidRPr="00B774BA">
        <w:rPr>
          <w:rFonts w:ascii="黑体" w:eastAsia="黑体" w:hAnsi="黑体" w:cs="微软雅黑" w:hint="eastAsia"/>
          <w:lang w:eastAsia="zh-CN"/>
        </w:rPr>
        <w:t>调</w:t>
      </w:r>
      <w:r w:rsidRPr="00B774BA">
        <w:rPr>
          <w:rFonts w:ascii="黑体" w:eastAsia="黑体" w:hAnsi="黑体" w:cs="MS Gothic" w:hint="eastAsia"/>
          <w:lang w:eastAsia="zh-CN"/>
        </w:rPr>
        <w:t>研</w:t>
      </w:r>
      <w:r w:rsidRPr="00B774BA">
        <w:rPr>
          <w:rFonts w:ascii="黑体" w:eastAsia="黑体" w:hAnsi="黑体" w:cs="微软雅黑" w:hint="eastAsia"/>
          <w:lang w:eastAsia="zh-CN"/>
        </w:rPr>
        <w:t>报</w:t>
      </w:r>
      <w:r w:rsidRPr="00B774BA">
        <w:rPr>
          <w:rFonts w:ascii="黑体" w:eastAsia="黑体" w:hAnsi="黑体"/>
          <w:lang w:eastAsia="zh-CN"/>
        </w:rPr>
        <w:t>告</w:t>
      </w:r>
    </w:p>
    <w:p w14:paraId="504ED85C" w14:textId="77777777" w:rsidR="00515BEB" w:rsidRPr="00B774BA" w:rsidRDefault="00000000">
      <w:pPr>
        <w:pStyle w:val="1"/>
        <w:rPr>
          <w:rFonts w:ascii="黑体" w:eastAsia="黑体" w:hAnsi="黑体"/>
        </w:rPr>
      </w:pPr>
      <w:proofErr w:type="spellStart"/>
      <w:r w:rsidRPr="00B774BA">
        <w:rPr>
          <w:rFonts w:ascii="黑体" w:eastAsia="黑体" w:hAnsi="黑体"/>
        </w:rPr>
        <w:t>摘要</w:t>
      </w:r>
      <w:proofErr w:type="spellEnd"/>
    </w:p>
    <w:p w14:paraId="7BCF3243" w14:textId="77777777" w:rsidR="00515BEB" w:rsidRDefault="00000000">
      <w:pPr>
        <w:jc w:val="both"/>
        <w:rPr>
          <w:lang w:eastAsia="zh-CN"/>
        </w:rPr>
      </w:pPr>
      <w:r>
        <w:rPr>
          <w:lang w:eastAsia="zh-CN"/>
        </w:rPr>
        <w:t>服务化通过接口抽象和服务供给，使软件能力能够跨系统复用，但没有自动解决部署伸缩、变更风险、产品效果评估和跨组织依赖问题。本文以课程给出的软件演进表为分析起点，结合技术规范、论文与工程案例，归纳服务化基础上的五项后续变化：运行资源的声明式管理与自动编排，交付过程与可靠性责任的持续化，运行数据进入产品改进闭环，模型参与软件开发与功能实现，以及软件依赖链的持续验证。研究表明，软件进一步摆脱固定机器和人工部署的约束，同时更依赖平台控制系统、数据质量、模型能力和外部供应链。理解这些变化需要同时考察新增能力与新增代价，不能用单一技术标签替代对适用条件的判断。</w:t>
      </w:r>
    </w:p>
    <w:p w14:paraId="56C8234F" w14:textId="77777777" w:rsidR="00515BEB" w:rsidRDefault="00000000">
      <w:pPr>
        <w:ind w:firstLine="0"/>
        <w:jc w:val="both"/>
        <w:rPr>
          <w:lang w:eastAsia="zh-CN"/>
        </w:rPr>
      </w:pPr>
      <w:r>
        <w:rPr>
          <w:sz w:val="21"/>
          <w:lang w:eastAsia="zh-CN"/>
        </w:rPr>
        <w:t>关键词：软件服务化；云原生；持续交付；在线实验；人工智能；软件供应链</w:t>
      </w:r>
    </w:p>
    <w:p w14:paraId="56FF67FD" w14:textId="77777777" w:rsidR="00515BEB" w:rsidRPr="00B774BA" w:rsidRDefault="00000000">
      <w:pPr>
        <w:pStyle w:val="1"/>
        <w:rPr>
          <w:rFonts w:ascii="黑体" w:eastAsia="黑体" w:hAnsi="黑体"/>
          <w:lang w:eastAsia="zh-CN"/>
        </w:rPr>
      </w:pPr>
      <w:r w:rsidRPr="00B774BA">
        <w:rPr>
          <w:rFonts w:ascii="黑体" w:eastAsia="黑体" w:hAnsi="黑体"/>
          <w:lang w:eastAsia="zh-CN"/>
        </w:rPr>
        <w:t>一 研究范围与服务化基线</w:t>
      </w:r>
    </w:p>
    <w:p w14:paraId="1F452A08" w14:textId="77777777" w:rsidR="00515BEB" w:rsidRDefault="00000000">
      <w:pPr>
        <w:jc w:val="both"/>
        <w:rPr>
          <w:lang w:eastAsia="zh-CN"/>
        </w:rPr>
      </w:pPr>
      <w:r>
        <w:rPr>
          <w:lang w:eastAsia="zh-CN"/>
        </w:rPr>
        <w:t>课程表格以独立化、产品化、结构化、对象化、网络化和服务化梳理软件发展，其贯穿线索是软件与硬件、固定用户、具体开发者及运行环境之间的关系不断调整。这一划分有助于解释抽象与分工的演进，但不宜理解为边界清晰、依次替代的统一年代史。本文所说的</w:t>
      </w:r>
      <w:r>
        <w:rPr>
          <w:lang w:eastAsia="zh-CN"/>
        </w:rPr>
        <w:t>“</w:t>
      </w:r>
      <w:r>
        <w:rPr>
          <w:lang w:eastAsia="zh-CN"/>
        </w:rPr>
        <w:t>服务化后</w:t>
      </w:r>
      <w:r>
        <w:rPr>
          <w:lang w:eastAsia="zh-CN"/>
        </w:rPr>
        <w:t>”</w:t>
      </w:r>
      <w:r>
        <w:rPr>
          <w:lang w:eastAsia="zh-CN"/>
        </w:rPr>
        <w:t>，指在服务化基础上逐渐形成或强化的工程能力；其中部分思想早已存在，后续变化在于它们被系统地组织进软件生产与运行过程。</w:t>
      </w:r>
    </w:p>
    <w:p w14:paraId="3B6A3592" w14:textId="77777777" w:rsidR="00515BEB" w:rsidRDefault="00000000">
      <w:pPr>
        <w:jc w:val="both"/>
        <w:rPr>
          <w:lang w:eastAsia="zh-CN"/>
        </w:rPr>
      </w:pPr>
      <w:r>
        <w:rPr>
          <w:lang w:eastAsia="zh-CN"/>
        </w:rPr>
        <w:t>服务化基线需要区分三个层次。面向服务架构（</w:t>
      </w:r>
      <w:r>
        <w:rPr>
          <w:lang w:eastAsia="zh-CN"/>
        </w:rPr>
        <w:t>SOA</w:t>
      </w:r>
      <w:r>
        <w:rPr>
          <w:lang w:eastAsia="zh-CN"/>
        </w:rPr>
        <w:t>）是组织和使用分布式能力的架构范式，能力可以分属不同所有者，服务描述支持参与者发现与交互。</w:t>
      </w:r>
      <w:r>
        <w:rPr>
          <w:lang w:eastAsia="zh-CN"/>
        </w:rPr>
        <w:t xml:space="preserve">[1] </w:t>
      </w:r>
      <w:r>
        <w:rPr>
          <w:lang w:eastAsia="zh-CN"/>
        </w:rPr>
        <w:t>软件即服务（</w:t>
      </w:r>
      <w:r>
        <w:rPr>
          <w:lang w:eastAsia="zh-CN"/>
        </w:rPr>
        <w:t>SaaS</w:t>
      </w:r>
      <w:r>
        <w:rPr>
          <w:lang w:eastAsia="zh-CN"/>
        </w:rPr>
        <w:t>）主要回答用户怎样使用提供商托管的应用，平台即服务（</w:t>
      </w:r>
      <w:r>
        <w:rPr>
          <w:lang w:eastAsia="zh-CN"/>
        </w:rPr>
        <w:t>PaaS</w:t>
      </w:r>
      <w:r>
        <w:rPr>
          <w:lang w:eastAsia="zh-CN"/>
        </w:rPr>
        <w:t>）则回答开发者怎样在提供商平台上部署自己的应用；二者属于云服务供给模式。</w:t>
      </w:r>
      <w:r>
        <w:rPr>
          <w:lang w:eastAsia="zh-CN"/>
        </w:rPr>
        <w:t xml:space="preserve">[2] </w:t>
      </w:r>
      <w:r>
        <w:rPr>
          <w:lang w:eastAsia="zh-CN"/>
        </w:rPr>
        <w:t>因而，</w:t>
      </w:r>
      <w:r>
        <w:rPr>
          <w:lang w:eastAsia="zh-CN"/>
        </w:rPr>
        <w:t>SOA</w:t>
      </w:r>
      <w:r>
        <w:rPr>
          <w:lang w:eastAsia="zh-CN"/>
        </w:rPr>
        <w:t>、</w:t>
      </w:r>
      <w:r>
        <w:rPr>
          <w:lang w:eastAsia="zh-CN"/>
        </w:rPr>
        <w:t>SaaS</w:t>
      </w:r>
      <w:r>
        <w:rPr>
          <w:lang w:eastAsia="zh-CN"/>
        </w:rPr>
        <w:t>与</w:t>
      </w:r>
      <w:r>
        <w:rPr>
          <w:lang w:eastAsia="zh-CN"/>
        </w:rPr>
        <w:t>PaaS</w:t>
      </w:r>
      <w:r>
        <w:rPr>
          <w:lang w:eastAsia="zh-CN"/>
        </w:rPr>
        <w:t>可以同时存在于一个系统，不能被当作同义词，也不能将所有移动应用或非关系型数据库直接视为服务化的充分标志。</w:t>
      </w:r>
    </w:p>
    <w:p w14:paraId="7495F282" w14:textId="77777777" w:rsidR="00515BEB" w:rsidRDefault="00000000">
      <w:pPr>
        <w:jc w:val="both"/>
        <w:rPr>
          <w:lang w:eastAsia="zh-CN"/>
        </w:rPr>
      </w:pPr>
      <w:r>
        <w:rPr>
          <w:lang w:eastAsia="zh-CN"/>
        </w:rPr>
        <w:t>接口隐藏实现细节之后，仍有许多约束：调用方可以不知道代码怎样实现，但服务扩容可能依赖人工；用户可以在线使用软件，但更新仍可能导致停机；团队能够收集日志，却未必知道新功能是否有效。</w:t>
      </w:r>
      <w:r>
        <w:rPr>
          <w:lang w:eastAsia="zh-CN"/>
        </w:rPr>
        <w:t>NIST</w:t>
      </w:r>
      <w:r>
        <w:rPr>
          <w:lang w:eastAsia="zh-CN"/>
        </w:rPr>
        <w:t>在</w:t>
      </w:r>
      <w:r>
        <w:rPr>
          <w:lang w:eastAsia="zh-CN"/>
        </w:rPr>
        <w:t>2011</w:t>
      </w:r>
      <w:r>
        <w:rPr>
          <w:lang w:eastAsia="zh-CN"/>
        </w:rPr>
        <w:t>年的定义中已包含快速弹性和可度量服务，因此</w:t>
      </w:r>
      <w:r>
        <w:rPr>
          <w:lang w:eastAsia="zh-CN"/>
        </w:rPr>
        <w:t>“</w:t>
      </w:r>
      <w:r>
        <w:rPr>
          <w:lang w:eastAsia="zh-CN"/>
        </w:rPr>
        <w:t>能够伸缩</w:t>
      </w:r>
      <w:r>
        <w:rPr>
          <w:lang w:eastAsia="zh-CN"/>
        </w:rPr>
        <w:t>”“</w:t>
      </w:r>
      <w:r>
        <w:rPr>
          <w:lang w:eastAsia="zh-CN"/>
        </w:rPr>
        <w:t>按使用量计费</w:t>
      </w:r>
      <w:r>
        <w:rPr>
          <w:lang w:eastAsia="zh-CN"/>
        </w:rPr>
        <w:t>”</w:t>
      </w:r>
      <w:r>
        <w:rPr>
          <w:lang w:eastAsia="zh-CN"/>
        </w:rPr>
        <w:t>本身不是全新的特征。</w:t>
      </w:r>
      <w:r>
        <w:rPr>
          <w:lang w:eastAsia="zh-CN"/>
        </w:rPr>
        <w:t xml:space="preserve">[2] </w:t>
      </w:r>
      <w:r>
        <w:rPr>
          <w:lang w:eastAsia="zh-CN"/>
        </w:rPr>
        <w:t>本文关注这些能力如何落实为可重复的工程过程，以及它们如何改变软件的责任边界。</w:t>
      </w:r>
    </w:p>
    <w:p w14:paraId="37856894" w14:textId="77777777" w:rsidR="00515BEB" w:rsidRDefault="00000000">
      <w:pPr>
        <w:jc w:val="both"/>
        <w:rPr>
          <w:lang w:eastAsia="zh-CN"/>
        </w:rPr>
      </w:pPr>
      <w:r>
        <w:rPr>
          <w:lang w:eastAsia="zh-CN"/>
        </w:rPr>
        <w:t>调研截止于</w:t>
      </w:r>
      <w:r>
        <w:rPr>
          <w:lang w:eastAsia="zh-CN"/>
        </w:rPr>
        <w:t>2026</w:t>
      </w:r>
      <w:r>
        <w:rPr>
          <w:lang w:eastAsia="zh-CN"/>
        </w:rPr>
        <w:t>年</w:t>
      </w:r>
      <w:r>
        <w:rPr>
          <w:lang w:eastAsia="zh-CN"/>
        </w:rPr>
        <w:t>9</w:t>
      </w:r>
      <w:r>
        <w:rPr>
          <w:lang w:eastAsia="zh-CN"/>
        </w:rPr>
        <w:t>月</w:t>
      </w:r>
      <w:r>
        <w:rPr>
          <w:lang w:eastAsia="zh-CN"/>
        </w:rPr>
        <w:t>8</w:t>
      </w:r>
      <w:r>
        <w:rPr>
          <w:lang w:eastAsia="zh-CN"/>
        </w:rPr>
        <w:t>日，采用中英文关键词交叉检索，优先阅读标准组织、项目官方文档、论文原文和企业工程复盘，兼顾早期奠基资料与近期实证研究。本文</w:t>
      </w:r>
      <w:r>
        <w:rPr>
          <w:lang w:eastAsia="zh-CN"/>
        </w:rPr>
        <w:lastRenderedPageBreak/>
        <w:t>选取五项互补特征，不以搜索热度判断成熟度。云原生、持续交付等是已有文献术语；以下五项特征的组合是本文的分析归纳，并非公认的</w:t>
      </w:r>
      <w:r>
        <w:rPr>
          <w:lang w:eastAsia="zh-CN"/>
        </w:rPr>
        <w:t>“</w:t>
      </w:r>
      <w:r>
        <w:rPr>
          <w:lang w:eastAsia="zh-CN"/>
        </w:rPr>
        <w:t>第七阶段</w:t>
      </w:r>
      <w:r>
        <w:rPr>
          <w:lang w:eastAsia="zh-CN"/>
        </w:rPr>
        <w:t>”</w:t>
      </w:r>
      <w:r>
        <w:rPr>
          <w:lang w:eastAsia="zh-CN"/>
        </w:rPr>
        <w:t>。</w:t>
      </w:r>
    </w:p>
    <w:p w14:paraId="1409B947" w14:textId="77777777" w:rsidR="00515BEB" w:rsidRPr="00701DA6" w:rsidRDefault="00000000">
      <w:pPr>
        <w:pStyle w:val="1"/>
        <w:rPr>
          <w:rFonts w:ascii="黑体" w:eastAsia="黑体" w:hAnsi="黑体"/>
          <w:lang w:eastAsia="zh-CN"/>
        </w:rPr>
      </w:pPr>
      <w:r w:rsidRPr="00701DA6">
        <w:rPr>
          <w:rFonts w:ascii="黑体" w:eastAsia="黑体" w:hAnsi="黑体"/>
          <w:lang w:eastAsia="zh-CN"/>
        </w:rPr>
        <w:t>二 运行资源的声明式管理与自动编排</w:t>
      </w:r>
    </w:p>
    <w:p w14:paraId="5415A585" w14:textId="77777777" w:rsidR="00515BEB" w:rsidRDefault="00000000">
      <w:pPr>
        <w:jc w:val="both"/>
        <w:rPr>
          <w:lang w:eastAsia="zh-CN"/>
        </w:rPr>
      </w:pPr>
      <w:r>
        <w:rPr>
          <w:lang w:eastAsia="zh-CN"/>
        </w:rPr>
        <w:t>服务接口主要约束调用关系，云原生实践进一步处理应用怎样在动态环境中持续运行。</w:t>
      </w:r>
      <w:r>
        <w:rPr>
          <w:lang w:eastAsia="zh-CN"/>
        </w:rPr>
        <w:t>CNCF</w:t>
      </w:r>
      <w:r>
        <w:rPr>
          <w:lang w:eastAsia="zh-CN"/>
        </w:rPr>
        <w:t>将可伸缩、可管理、可观察以及自动化变更作为云原生技术的重要目标。</w:t>
      </w:r>
      <w:r>
        <w:rPr>
          <w:lang w:eastAsia="zh-CN"/>
        </w:rPr>
        <w:t xml:space="preserve">[3] </w:t>
      </w:r>
      <w:r>
        <w:rPr>
          <w:lang w:eastAsia="zh-CN"/>
        </w:rPr>
        <w:t>微服务细化可独立变更的业务单元，容器提供相对一致的运行封装，编排系统管理实例及资源。三者各有作用，既不能把</w:t>
      </w:r>
      <w:r>
        <w:rPr>
          <w:lang w:eastAsia="zh-CN"/>
        </w:rPr>
        <w:t>“</w:t>
      </w:r>
      <w:r>
        <w:rPr>
          <w:lang w:eastAsia="zh-CN"/>
        </w:rPr>
        <w:t>拆成很多服务</w:t>
      </w:r>
      <w:r>
        <w:rPr>
          <w:lang w:eastAsia="zh-CN"/>
        </w:rPr>
        <w:t>”</w:t>
      </w:r>
      <w:r>
        <w:rPr>
          <w:lang w:eastAsia="zh-CN"/>
        </w:rPr>
        <w:t>当作云原生的全部，也不能认为采用容器就已经实现业务层面的弹性。</w:t>
      </w:r>
    </w:p>
    <w:p w14:paraId="5D7BB927" w14:textId="77777777" w:rsidR="00515BEB" w:rsidRDefault="00000000">
      <w:pPr>
        <w:jc w:val="both"/>
        <w:rPr>
          <w:lang w:eastAsia="zh-CN"/>
        </w:rPr>
      </w:pPr>
      <w:r>
        <w:rPr>
          <w:lang w:eastAsia="zh-CN"/>
        </w:rPr>
        <w:t>声明式管理的机制是让开发者描述期望状态，再由控制器不断协调实际状态。例如，应用声明需要若干副本，控制系统发现副本缺失后补建；资源调度决定实例放置在哪里。</w:t>
      </w:r>
      <w:r>
        <w:rPr>
          <w:lang w:eastAsia="zh-CN"/>
        </w:rPr>
        <w:t>Kubernetes</w:t>
      </w:r>
      <w:r>
        <w:rPr>
          <w:lang w:eastAsia="zh-CN"/>
        </w:rPr>
        <w:t>控制器文档将这种持续校正描述为控制循环。</w:t>
      </w:r>
      <w:r>
        <w:rPr>
          <w:lang w:eastAsia="zh-CN"/>
        </w:rPr>
        <w:t xml:space="preserve">[4] </w:t>
      </w:r>
      <w:r>
        <w:rPr>
          <w:lang w:eastAsia="zh-CN"/>
        </w:rPr>
        <w:t>与逐台登录机器执行操作相比，程序表达的管理意图可以版本化和重复执行。不过，副本恢复只能恢复执行能力，数据库一致性和业务事务是否成功仍需要应用自身保证。</w:t>
      </w:r>
    </w:p>
    <w:p w14:paraId="6E7B0533" w14:textId="77777777" w:rsidR="00515BEB" w:rsidRDefault="00000000">
      <w:pPr>
        <w:jc w:val="both"/>
        <w:rPr>
          <w:lang w:eastAsia="zh-CN"/>
        </w:rPr>
      </w:pPr>
      <w:r>
        <w:rPr>
          <w:lang w:eastAsia="zh-CN"/>
        </w:rPr>
        <w:t>Google</w:t>
      </w:r>
      <w:r>
        <w:rPr>
          <w:lang w:eastAsia="zh-CN"/>
        </w:rPr>
        <w:t>的</w:t>
      </w:r>
      <w:r>
        <w:rPr>
          <w:lang w:eastAsia="zh-CN"/>
        </w:rPr>
        <w:t>Borg</w:t>
      </w:r>
      <w:r>
        <w:rPr>
          <w:lang w:eastAsia="zh-CN"/>
        </w:rPr>
        <w:t>是这一方向的深入案例。其</w:t>
      </w:r>
      <w:r>
        <w:rPr>
          <w:lang w:eastAsia="zh-CN"/>
        </w:rPr>
        <w:t>2015</w:t>
      </w:r>
      <w:r>
        <w:rPr>
          <w:lang w:eastAsia="zh-CN"/>
        </w:rPr>
        <w:t>年论文讨论的场景是多个应用在大规模集群中共享机器，问题既包括利用率，也包括故障后的恢复。</w:t>
      </w:r>
      <w:r>
        <w:rPr>
          <w:lang w:eastAsia="zh-CN"/>
        </w:rPr>
        <w:t>Borg</w:t>
      </w:r>
      <w:r>
        <w:rPr>
          <w:lang w:eastAsia="zh-CN"/>
        </w:rPr>
        <w:t>通过声明式作业配置、任务调度、资源共享与隔离管理负载，并结合运行监测和恢复策略支持高可用应用。</w:t>
      </w:r>
      <w:r>
        <w:rPr>
          <w:lang w:eastAsia="zh-CN"/>
        </w:rPr>
        <w:t xml:space="preserve">[5] </w:t>
      </w:r>
      <w:r>
        <w:rPr>
          <w:lang w:eastAsia="zh-CN"/>
        </w:rPr>
        <w:t>这表明运行管理能够由统一平台承担，业务团队不必为每项服务重新实现机器分配逻辑。该论文反映</w:t>
      </w:r>
      <w:r>
        <w:rPr>
          <w:lang w:eastAsia="zh-CN"/>
        </w:rPr>
        <w:t>Google</w:t>
      </w:r>
      <w:r>
        <w:rPr>
          <w:lang w:eastAsia="zh-CN"/>
        </w:rPr>
        <w:t>自身的生产实践，并不能直接证明小团队建设同类平台一定划算。</w:t>
      </w:r>
    </w:p>
    <w:p w14:paraId="00837549" w14:textId="77777777" w:rsidR="00515BEB" w:rsidRDefault="00000000">
      <w:pPr>
        <w:jc w:val="both"/>
        <w:rPr>
          <w:lang w:eastAsia="zh-CN"/>
        </w:rPr>
      </w:pPr>
      <w:r>
        <w:rPr>
          <w:lang w:eastAsia="zh-CN"/>
        </w:rPr>
        <w:t>Serverless</w:t>
      </w:r>
      <w:r>
        <w:rPr>
          <w:lang w:eastAsia="zh-CN"/>
        </w:rPr>
        <w:t>进一步将部分资源管理责任交给提供商。以函数即服务为例，开发者提交函数及触发条件，平台安排执行与资源分配；所谓</w:t>
      </w:r>
      <w:r>
        <w:rPr>
          <w:lang w:eastAsia="zh-CN"/>
        </w:rPr>
        <w:t>“</w:t>
      </w:r>
      <w:r>
        <w:rPr>
          <w:lang w:eastAsia="zh-CN"/>
        </w:rPr>
        <w:t>无服务器</w:t>
      </w:r>
      <w:r>
        <w:rPr>
          <w:lang w:eastAsia="zh-CN"/>
        </w:rPr>
        <w:t>”</w:t>
      </w:r>
      <w:r>
        <w:rPr>
          <w:lang w:eastAsia="zh-CN"/>
        </w:rPr>
        <w:t>是使用者较少管理服务器，而非不存在服务器。</w:t>
      </w:r>
      <w:r>
        <w:rPr>
          <w:lang w:eastAsia="zh-CN"/>
        </w:rPr>
        <w:t>Berkeley</w:t>
      </w:r>
      <w:r>
        <w:rPr>
          <w:lang w:eastAsia="zh-CN"/>
        </w:rPr>
        <w:t>的研究将其概括为提高云编程抽象层次，同时讨论通信、状态管理和启动开销等障碍。</w:t>
      </w:r>
      <w:r>
        <w:rPr>
          <w:lang w:eastAsia="zh-CN"/>
        </w:rPr>
        <w:t xml:space="preserve">[6] </w:t>
      </w:r>
      <w:r>
        <w:rPr>
          <w:lang w:eastAsia="zh-CN"/>
        </w:rPr>
        <w:t>本文据此判断，事件触发、负载波动明显的任务更容易体现这一模式的价值，长时间运行、强状态关联或严格低时延任务则需具体评估。</w:t>
      </w:r>
    </w:p>
    <w:p w14:paraId="4E371975" w14:textId="77777777" w:rsidR="00515BEB" w:rsidRDefault="00000000">
      <w:pPr>
        <w:jc w:val="both"/>
        <w:rPr>
          <w:lang w:eastAsia="zh-CN"/>
        </w:rPr>
      </w:pPr>
      <w:r>
        <w:rPr>
          <w:lang w:eastAsia="zh-CN"/>
        </w:rPr>
        <w:t>新增解耦也形成新增依赖。业务代码较少绑定单台机器，却依赖编排控制系统、网络及云平台约束；故障可能表现为跨服务调用失败，排查范围随之扩大。因此，架构选择应以负载、团队能力和可维护性为依据。业务边界稳定、规模较小的系统仍可采用模块化单体，资源自动化也不必以全面微服务化为前提。</w:t>
      </w:r>
    </w:p>
    <w:p w14:paraId="32D8703A" w14:textId="77777777" w:rsidR="00515BEB" w:rsidRPr="00D36BE4" w:rsidRDefault="00000000">
      <w:pPr>
        <w:pStyle w:val="1"/>
        <w:rPr>
          <w:rFonts w:ascii="黑体" w:eastAsia="黑体" w:hAnsi="黑体"/>
          <w:lang w:eastAsia="zh-CN"/>
        </w:rPr>
      </w:pPr>
      <w:r w:rsidRPr="00D36BE4">
        <w:rPr>
          <w:rFonts w:ascii="黑体" w:eastAsia="黑体" w:hAnsi="黑体"/>
          <w:lang w:eastAsia="zh-CN"/>
        </w:rPr>
        <w:lastRenderedPageBreak/>
        <w:t>三 交付过程与可靠性责任的持续化</w:t>
      </w:r>
    </w:p>
    <w:p w14:paraId="34563464" w14:textId="77777777" w:rsidR="00515BEB" w:rsidRDefault="00000000">
      <w:pPr>
        <w:jc w:val="both"/>
        <w:rPr>
          <w:lang w:eastAsia="zh-CN"/>
        </w:rPr>
      </w:pPr>
      <w:r>
        <w:rPr>
          <w:lang w:eastAsia="zh-CN"/>
        </w:rPr>
        <w:t>SaaS</w:t>
      </w:r>
      <w:r>
        <w:rPr>
          <w:lang w:eastAsia="zh-CN"/>
        </w:rPr>
        <w:t>已由提供商持续运营，后续深化在于把代码变更、上线评估和故障恢复组织成有反馈的过程。持续集成通过频繁合并和自动测试尽早发现问题，持续交付使经过验证的版本保持可发布状态；是否每次自动进入生产环境，还取决于具体发布策略。</w:t>
      </w:r>
      <w:r>
        <w:rPr>
          <w:lang w:eastAsia="zh-CN"/>
        </w:rPr>
        <w:t>Google</w:t>
      </w:r>
      <w:r>
        <w:rPr>
          <w:lang w:eastAsia="zh-CN"/>
        </w:rPr>
        <w:t>的发布工程实践强调可重复构建、小批量变更和自动化部署，并用金丝雀发布在部分真实流量上验证候选版本。</w:t>
      </w:r>
      <w:r>
        <w:rPr>
          <w:lang w:eastAsia="zh-CN"/>
        </w:rPr>
        <w:t>[7]</w:t>
      </w:r>
    </w:p>
    <w:p w14:paraId="6A24B991" w14:textId="77777777" w:rsidR="00515BEB" w:rsidRDefault="00000000">
      <w:pPr>
        <w:jc w:val="both"/>
        <w:rPr>
          <w:lang w:eastAsia="zh-CN"/>
        </w:rPr>
      </w:pPr>
      <w:r>
        <w:rPr>
          <w:lang w:eastAsia="zh-CN"/>
        </w:rPr>
        <w:t>这使</w:t>
      </w:r>
      <w:r>
        <w:rPr>
          <w:lang w:eastAsia="zh-CN"/>
        </w:rPr>
        <w:t>“</w:t>
      </w:r>
      <w:r>
        <w:rPr>
          <w:lang w:eastAsia="zh-CN"/>
        </w:rPr>
        <w:t>完成开发</w:t>
      </w:r>
      <w:r>
        <w:rPr>
          <w:lang w:eastAsia="zh-CN"/>
        </w:rPr>
        <w:t>”</w:t>
      </w:r>
      <w:r>
        <w:rPr>
          <w:lang w:eastAsia="zh-CN"/>
        </w:rPr>
        <w:t>的判断延伸到实际运行效果。服务等级目标（</w:t>
      </w:r>
      <w:r>
        <w:rPr>
          <w:lang w:eastAsia="zh-CN"/>
        </w:rPr>
        <w:t>SLO</w:t>
      </w:r>
      <w:r>
        <w:rPr>
          <w:lang w:eastAsia="zh-CN"/>
        </w:rPr>
        <w:t>）规定用户能够接受的可靠性水平，错误预算表示在对应统计窗口内允许的失败额度。</w:t>
      </w:r>
      <w:r>
        <w:rPr>
          <w:lang w:eastAsia="zh-CN"/>
        </w:rPr>
        <w:t>Google SRE</w:t>
      </w:r>
      <w:r>
        <w:rPr>
          <w:lang w:eastAsia="zh-CN"/>
        </w:rPr>
        <w:t>工作手册的示例政策将预算消耗与发布决策关联：若超出预算，暂缓通常变更，优先恢复可靠性，同时保留紧急与安全修复。</w:t>
      </w:r>
      <w:r>
        <w:rPr>
          <w:lang w:eastAsia="zh-CN"/>
        </w:rPr>
        <w:t xml:space="preserve">[8] </w:t>
      </w:r>
      <w:r>
        <w:rPr>
          <w:lang w:eastAsia="zh-CN"/>
        </w:rPr>
        <w:t>这是一种政策示例，不是所有组织必须照搬的阈值；其价值在于让开发与运维依据共同指标协调取舍。</w:t>
      </w:r>
    </w:p>
    <w:p w14:paraId="1DEFD654" w14:textId="77777777" w:rsidR="00515BEB" w:rsidRDefault="00000000">
      <w:pPr>
        <w:jc w:val="both"/>
        <w:rPr>
          <w:lang w:eastAsia="zh-CN"/>
        </w:rPr>
      </w:pPr>
      <w:r>
        <w:rPr>
          <w:lang w:eastAsia="zh-CN"/>
        </w:rPr>
        <w:t>Cloudflare</w:t>
      </w:r>
      <w:r>
        <w:rPr>
          <w:lang w:eastAsia="zh-CN"/>
        </w:rPr>
        <w:t>于</w:t>
      </w:r>
      <w:r>
        <w:rPr>
          <w:lang w:eastAsia="zh-CN"/>
        </w:rPr>
        <w:t>2019</w:t>
      </w:r>
      <w:r>
        <w:rPr>
          <w:lang w:eastAsia="zh-CN"/>
        </w:rPr>
        <w:t>年</w:t>
      </w:r>
      <w:r>
        <w:rPr>
          <w:lang w:eastAsia="zh-CN"/>
        </w:rPr>
        <w:t>7</w:t>
      </w:r>
      <w:r>
        <w:rPr>
          <w:lang w:eastAsia="zh-CN"/>
        </w:rPr>
        <w:t>月</w:t>
      </w:r>
      <w:r>
        <w:rPr>
          <w:lang w:eastAsia="zh-CN"/>
        </w:rPr>
        <w:t>2</w:t>
      </w:r>
      <w:r>
        <w:rPr>
          <w:lang w:eastAsia="zh-CN"/>
        </w:rPr>
        <w:t>日的事故揭示了这种机制为何必要。据其复盘，网页应用防火墙（</w:t>
      </w:r>
      <w:r>
        <w:rPr>
          <w:lang w:eastAsia="zh-CN"/>
        </w:rPr>
        <w:t>WAF</w:t>
      </w:r>
      <w:r>
        <w:rPr>
          <w:lang w:eastAsia="zh-CN"/>
        </w:rPr>
        <w:t>）规则中的正则表达式产生过量回溯，耗尽处理</w:t>
      </w:r>
      <w:r>
        <w:rPr>
          <w:lang w:eastAsia="zh-CN"/>
        </w:rPr>
        <w:t>HTTP/HTTPS</w:t>
      </w:r>
      <w:r>
        <w:rPr>
          <w:lang w:eastAsia="zh-CN"/>
        </w:rPr>
        <w:t>流量的</w:t>
      </w:r>
      <w:r>
        <w:rPr>
          <w:lang w:eastAsia="zh-CN"/>
        </w:rPr>
        <w:t>CPU</w:t>
      </w:r>
      <w:r>
        <w:rPr>
          <w:lang w:eastAsia="zh-CN"/>
        </w:rPr>
        <w:t>资源，引发持续</w:t>
      </w:r>
      <w:r>
        <w:rPr>
          <w:lang w:eastAsia="zh-CN"/>
        </w:rPr>
        <w:t>27</w:t>
      </w:r>
      <w:r>
        <w:rPr>
          <w:lang w:eastAsia="zh-CN"/>
        </w:rPr>
        <w:t>分钟的核心服务中断。规则通过了既有测试，却未检验异常</w:t>
      </w:r>
      <w:r>
        <w:rPr>
          <w:lang w:eastAsia="zh-CN"/>
        </w:rPr>
        <w:t>CPU</w:t>
      </w:r>
      <w:r>
        <w:rPr>
          <w:lang w:eastAsia="zh-CN"/>
        </w:rPr>
        <w:t>消耗；规则更新又未采用普通软件的分阶段发布流程。其整改计划因此包括性能分析、分阶段推送和改进应急访问能力。</w:t>
      </w:r>
      <w:r>
        <w:rPr>
          <w:lang w:eastAsia="zh-CN"/>
        </w:rPr>
        <w:t xml:space="preserve">[9] </w:t>
      </w:r>
      <w:r>
        <w:rPr>
          <w:lang w:eastAsia="zh-CN"/>
        </w:rPr>
        <w:t>案例说明，自动化同时会放大遗漏，测试通过不能替代对变更影响范围的控制。</w:t>
      </w:r>
    </w:p>
    <w:p w14:paraId="14FE2883" w14:textId="77777777" w:rsidR="00515BEB" w:rsidRDefault="00000000">
      <w:pPr>
        <w:jc w:val="both"/>
        <w:rPr>
          <w:lang w:eastAsia="zh-CN"/>
        </w:rPr>
      </w:pPr>
      <w:r>
        <w:rPr>
          <w:lang w:eastAsia="zh-CN"/>
        </w:rPr>
        <w:t>在此基础上，本文认为发布应同时具备</w:t>
      </w:r>
      <w:r>
        <w:rPr>
          <w:lang w:eastAsia="zh-CN"/>
        </w:rPr>
        <w:t>“</w:t>
      </w:r>
      <w:r>
        <w:rPr>
          <w:lang w:eastAsia="zh-CN"/>
        </w:rPr>
        <w:t>能推进</w:t>
      </w:r>
      <w:r>
        <w:rPr>
          <w:lang w:eastAsia="zh-CN"/>
        </w:rPr>
        <w:t>”</w:t>
      </w:r>
      <w:r>
        <w:rPr>
          <w:lang w:eastAsia="zh-CN"/>
        </w:rPr>
        <w:t>和</w:t>
      </w:r>
      <w:r>
        <w:rPr>
          <w:lang w:eastAsia="zh-CN"/>
        </w:rPr>
        <w:t>“</w:t>
      </w:r>
      <w:r>
        <w:rPr>
          <w:lang w:eastAsia="zh-CN"/>
        </w:rPr>
        <w:t>能停止</w:t>
      </w:r>
      <w:r>
        <w:rPr>
          <w:lang w:eastAsia="zh-CN"/>
        </w:rPr>
        <w:t>”</w:t>
      </w:r>
      <w:r>
        <w:rPr>
          <w:lang w:eastAsia="zh-CN"/>
        </w:rPr>
        <w:t>的能力。金丝雀发布提供有限暴露，功能开关使已部署功能可以暂时关闭，监测则帮助判断是否继续推广。</w:t>
      </w:r>
      <w:r>
        <w:rPr>
          <w:lang w:eastAsia="zh-CN"/>
        </w:rPr>
        <w:t xml:space="preserve">[7] </w:t>
      </w:r>
      <w:r>
        <w:rPr>
          <w:lang w:eastAsia="zh-CN"/>
        </w:rPr>
        <w:t>但灰度流量必须具有代表性；若新旧版本共享同一数据库，少量有害请求也可能影响全部用户。数据库结构变更和不可逆数据写入，更不能仅靠回退程序文件解决。</w:t>
      </w:r>
    </w:p>
    <w:p w14:paraId="7564F4D1" w14:textId="77777777" w:rsidR="00515BEB" w:rsidRDefault="00000000">
      <w:pPr>
        <w:jc w:val="both"/>
        <w:rPr>
          <w:lang w:eastAsia="zh-CN"/>
        </w:rPr>
      </w:pPr>
      <w:r>
        <w:rPr>
          <w:lang w:eastAsia="zh-CN"/>
        </w:rPr>
        <w:t>由此，软件交付物扩展为代码、配置、部署方式和运行约束的组合，团队责任也延伸至服务恢复。用户获得更及时的修复，却可能面对更频繁的行为变化；团队应通过兼容策略与明确的变更管理维持使用稳定性。评价交付能力不能只看上线次数，还要看变更失败、用户影响和恢复所需时间。</w:t>
      </w:r>
    </w:p>
    <w:p w14:paraId="3D10DDDA" w14:textId="77777777" w:rsidR="00515BEB" w:rsidRPr="00D36BE4" w:rsidRDefault="00000000">
      <w:pPr>
        <w:pStyle w:val="1"/>
        <w:rPr>
          <w:rFonts w:ascii="黑体" w:eastAsia="黑体" w:hAnsi="黑体"/>
          <w:lang w:eastAsia="zh-CN"/>
        </w:rPr>
      </w:pPr>
      <w:r w:rsidRPr="00D36BE4">
        <w:rPr>
          <w:rFonts w:ascii="黑体" w:eastAsia="黑体" w:hAnsi="黑体"/>
          <w:lang w:eastAsia="zh-CN"/>
        </w:rPr>
        <w:t>四 运行数据进入产品改进闭环</w:t>
      </w:r>
    </w:p>
    <w:p w14:paraId="4B1BCBA3" w14:textId="77777777" w:rsidR="00515BEB" w:rsidRDefault="00000000">
      <w:pPr>
        <w:jc w:val="both"/>
        <w:rPr>
          <w:lang w:eastAsia="zh-CN"/>
        </w:rPr>
      </w:pPr>
      <w:r>
        <w:rPr>
          <w:lang w:eastAsia="zh-CN"/>
        </w:rPr>
        <w:t>服务化使运行方更容易持续接触使用数据，但</w:t>
      </w:r>
      <w:r>
        <w:rPr>
          <w:lang w:eastAsia="zh-CN"/>
        </w:rPr>
        <w:t>“</w:t>
      </w:r>
      <w:r>
        <w:rPr>
          <w:lang w:eastAsia="zh-CN"/>
        </w:rPr>
        <w:t>拥有数据</w:t>
      </w:r>
      <w:r>
        <w:rPr>
          <w:lang w:eastAsia="zh-CN"/>
        </w:rPr>
        <w:t>”</w:t>
      </w:r>
      <w:r>
        <w:rPr>
          <w:lang w:eastAsia="zh-CN"/>
        </w:rPr>
        <w:t>与</w:t>
      </w:r>
      <w:r>
        <w:rPr>
          <w:lang w:eastAsia="zh-CN"/>
        </w:rPr>
        <w:t>“</w:t>
      </w:r>
      <w:r>
        <w:rPr>
          <w:lang w:eastAsia="zh-CN"/>
        </w:rPr>
        <w:t>用数据验证决策</w:t>
      </w:r>
      <w:r>
        <w:rPr>
          <w:lang w:eastAsia="zh-CN"/>
        </w:rPr>
        <w:t>”</w:t>
      </w:r>
      <w:r>
        <w:rPr>
          <w:lang w:eastAsia="zh-CN"/>
        </w:rPr>
        <w:t>之间仍有距离。后续变化是将产品设想转化为可检验假设，把上线后的观测反馈到下一轮开发。</w:t>
      </w:r>
      <w:r>
        <w:rPr>
          <w:lang w:eastAsia="zh-CN"/>
        </w:rPr>
        <w:t>A/B</w:t>
      </w:r>
      <w:r>
        <w:rPr>
          <w:lang w:eastAsia="zh-CN"/>
        </w:rPr>
        <w:t>测试通常将用户随机分配到不同版本，并比较预先设定的指标；在随机化、测量和实验隔离成立时，它比简单的上线前后比较更有助于识别变更影响。</w:t>
      </w:r>
      <w:r>
        <w:rPr>
          <w:lang w:eastAsia="zh-CN"/>
        </w:rPr>
        <w:t>[10]</w:t>
      </w:r>
    </w:p>
    <w:p w14:paraId="04600515" w14:textId="77777777" w:rsidR="00515BEB" w:rsidRDefault="00000000">
      <w:pPr>
        <w:jc w:val="both"/>
        <w:rPr>
          <w:lang w:eastAsia="zh-CN"/>
        </w:rPr>
      </w:pPr>
      <w:r>
        <w:rPr>
          <w:lang w:eastAsia="zh-CN"/>
        </w:rPr>
        <w:lastRenderedPageBreak/>
        <w:t>Fabijan</w:t>
      </w:r>
      <w:r>
        <w:rPr>
          <w:lang w:eastAsia="zh-CN"/>
        </w:rPr>
        <w:t>等对微软持续实验实践的研究提供了具体例证。</w:t>
      </w:r>
      <w:r>
        <w:rPr>
          <w:lang w:eastAsia="zh-CN"/>
        </w:rPr>
        <w:t>Bing</w:t>
      </w:r>
      <w:r>
        <w:rPr>
          <w:lang w:eastAsia="zh-CN"/>
        </w:rPr>
        <w:t>希望用改进的机器人识别，将部分自动请求转向成本较低的搜索处理方式，以减少资源消耗，同时避免误伤人类用户。团队通过实验、自动告警和逐步扩大处理组控制风险，论文报告该项实验节省了约</w:t>
      </w:r>
      <w:r>
        <w:rPr>
          <w:lang w:eastAsia="zh-CN"/>
        </w:rPr>
        <w:t>10%</w:t>
      </w:r>
      <w:r>
        <w:rPr>
          <w:lang w:eastAsia="zh-CN"/>
        </w:rPr>
        <w:t>的基础设施资源，且未观察到所评估的用户损害。</w:t>
      </w:r>
      <w:r>
        <w:rPr>
          <w:lang w:eastAsia="zh-CN"/>
        </w:rPr>
        <w:t xml:space="preserve">[10] </w:t>
      </w:r>
      <w:r>
        <w:rPr>
          <w:lang w:eastAsia="zh-CN"/>
        </w:rPr>
        <w:t>这里的数字属于特定实验，并非</w:t>
      </w:r>
      <w:r>
        <w:rPr>
          <w:lang w:eastAsia="zh-CN"/>
        </w:rPr>
        <w:t>Bing</w:t>
      </w:r>
      <w:r>
        <w:rPr>
          <w:lang w:eastAsia="zh-CN"/>
        </w:rPr>
        <w:t>整体成本降幅；原文也未给出足以独立复算该结果的全部样本和测量细节。</w:t>
      </w:r>
    </w:p>
    <w:p w14:paraId="72AFBA70" w14:textId="77777777" w:rsidR="00515BEB" w:rsidRDefault="00000000">
      <w:pPr>
        <w:jc w:val="both"/>
        <w:rPr>
          <w:lang w:eastAsia="zh-CN"/>
        </w:rPr>
      </w:pPr>
      <w:r>
        <w:rPr>
          <w:lang w:eastAsia="zh-CN"/>
        </w:rPr>
        <w:t>这个案例改变了需求评审的证据结构。过去，团队可能在</w:t>
      </w:r>
      <w:r>
        <w:rPr>
          <w:lang w:eastAsia="zh-CN"/>
        </w:rPr>
        <w:t>“</w:t>
      </w:r>
      <w:r>
        <w:rPr>
          <w:lang w:eastAsia="zh-CN"/>
        </w:rPr>
        <w:t>功能是否符合设计</w:t>
      </w:r>
      <w:r>
        <w:rPr>
          <w:lang w:eastAsia="zh-CN"/>
        </w:rPr>
        <w:t>”</w:t>
      </w:r>
      <w:r>
        <w:rPr>
          <w:lang w:eastAsia="zh-CN"/>
        </w:rPr>
        <w:t>处结束验证；现在还需判断</w:t>
      </w:r>
      <w:r>
        <w:rPr>
          <w:lang w:eastAsia="zh-CN"/>
        </w:rPr>
        <w:t>“</w:t>
      </w:r>
      <w:r>
        <w:rPr>
          <w:lang w:eastAsia="zh-CN"/>
        </w:rPr>
        <w:t>符合设计的功能是否改善了产品</w:t>
      </w:r>
      <w:r>
        <w:rPr>
          <w:lang w:eastAsia="zh-CN"/>
        </w:rPr>
        <w:t>”</w:t>
      </w:r>
      <w:r>
        <w:rPr>
          <w:lang w:eastAsia="zh-CN"/>
        </w:rPr>
        <w:t>。成本降低与用户体验之间的取舍，可以通过同时观察资源和体验指标来检验。本文据此认为，产品团队需要与数据分析人员共同定义事件和指标，使需求、实现、运行测量与改进决策能够相互对应。</w:t>
      </w:r>
    </w:p>
    <w:p w14:paraId="5A904349" w14:textId="77777777" w:rsidR="00515BEB" w:rsidRDefault="00000000">
      <w:pPr>
        <w:jc w:val="both"/>
        <w:rPr>
          <w:lang w:eastAsia="zh-CN"/>
        </w:rPr>
      </w:pPr>
      <w:r>
        <w:rPr>
          <w:lang w:eastAsia="zh-CN"/>
        </w:rPr>
        <w:t>然而，实验结果具有明确边界。短期指标改善不能直接证明长期留存提升，统计显著也不自动等于业务收益足够大；样本不足、指标选择不当或多个实验相互影响，都可能改变结论。平台还应限制不必要的数据采集，并明确数据访问范围。这些约束意味着数据反馈需要测量设计和组织能力，不能被缩减成</w:t>
      </w:r>
      <w:r>
        <w:rPr>
          <w:lang w:eastAsia="zh-CN"/>
        </w:rPr>
        <w:t>“</w:t>
      </w:r>
      <w:r>
        <w:rPr>
          <w:lang w:eastAsia="zh-CN"/>
        </w:rPr>
        <w:t>多埋点、多做看板</w:t>
      </w:r>
      <w:r>
        <w:rPr>
          <w:lang w:eastAsia="zh-CN"/>
        </w:rPr>
        <w:t>”</w:t>
      </w:r>
      <w:r>
        <w:rPr>
          <w:lang w:eastAsia="zh-CN"/>
        </w:rPr>
        <w:t>。</w:t>
      </w:r>
    </w:p>
    <w:p w14:paraId="6B72373C" w14:textId="77777777" w:rsidR="00515BEB" w:rsidRDefault="00000000">
      <w:pPr>
        <w:jc w:val="both"/>
        <w:rPr>
          <w:lang w:eastAsia="zh-CN"/>
        </w:rPr>
      </w:pPr>
      <w:r>
        <w:rPr>
          <w:lang w:eastAsia="zh-CN"/>
        </w:rPr>
        <w:t>当数据进一步参与模型训练时，依赖关系会更复杂。</w:t>
      </w:r>
      <w:r>
        <w:rPr>
          <w:lang w:eastAsia="zh-CN"/>
        </w:rPr>
        <w:t>Sculley</w:t>
      </w:r>
      <w:r>
        <w:rPr>
          <w:lang w:eastAsia="zh-CN"/>
        </w:rPr>
        <w:t>等指出，机器学习系统容易产生隐蔽的数据依赖和反馈回路，例如系统输出改变后续收集的数据，再影响模型。</w:t>
      </w:r>
      <w:r>
        <w:rPr>
          <w:lang w:eastAsia="zh-CN"/>
        </w:rPr>
        <w:t xml:space="preserve">[11] </w:t>
      </w:r>
      <w:r>
        <w:rPr>
          <w:lang w:eastAsia="zh-CN"/>
        </w:rPr>
        <w:t>据此，运行反馈应同时记录数据来源与版本，并识别反馈是否已经受产品自身干预。软件与数据的关系于是从存储层面的分离，发展为功能和决策层面的持续关联，这不是简单的再次</w:t>
      </w:r>
      <w:r>
        <w:rPr>
          <w:lang w:eastAsia="zh-CN"/>
        </w:rPr>
        <w:t>“</w:t>
      </w:r>
      <w:r>
        <w:rPr>
          <w:lang w:eastAsia="zh-CN"/>
        </w:rPr>
        <w:t>解耦</w:t>
      </w:r>
      <w:r>
        <w:rPr>
          <w:lang w:eastAsia="zh-CN"/>
        </w:rPr>
        <w:t>”</w:t>
      </w:r>
      <w:r>
        <w:rPr>
          <w:lang w:eastAsia="zh-CN"/>
        </w:rPr>
        <w:t>。</w:t>
      </w:r>
    </w:p>
    <w:p w14:paraId="17BDF255" w14:textId="77777777" w:rsidR="00515BEB" w:rsidRPr="00D36BE4" w:rsidRDefault="00000000">
      <w:pPr>
        <w:pStyle w:val="1"/>
        <w:rPr>
          <w:rFonts w:ascii="黑体" w:eastAsia="黑体" w:hAnsi="黑体"/>
          <w:lang w:eastAsia="zh-CN"/>
        </w:rPr>
      </w:pPr>
      <w:r w:rsidRPr="00D36BE4">
        <w:rPr>
          <w:rFonts w:ascii="黑体" w:eastAsia="黑体" w:hAnsi="黑体"/>
          <w:lang w:eastAsia="zh-CN"/>
        </w:rPr>
        <w:t>五 模型参与软件开发与功能实现</w:t>
      </w:r>
    </w:p>
    <w:p w14:paraId="6D067254" w14:textId="77777777" w:rsidR="00515BEB" w:rsidRDefault="00000000">
      <w:pPr>
        <w:jc w:val="both"/>
        <w:rPr>
          <w:lang w:eastAsia="zh-CN"/>
        </w:rPr>
      </w:pPr>
      <w:r>
        <w:rPr>
          <w:lang w:eastAsia="zh-CN"/>
        </w:rPr>
        <w:t>AI</w:t>
      </w:r>
      <w:r>
        <w:rPr>
          <w:lang w:eastAsia="zh-CN"/>
        </w:rPr>
        <w:t>带来的变化需要区分开发过程和软件运行两个层面。开发过程中，模型可以生成候选代码、解释既有逻辑并协助修改，开发者的工作相应增加了任务描述、上下文提供和结果验证。运行过程中，软件可以调用模型完成问答、摘要等功能，部分行为由模型参数与输入信息共同决定。即使外部服务接口没有变化，内部输出也可能随模型或数据更新而变化，因此接口稳定不足以保证行为稳定。</w:t>
      </w:r>
    </w:p>
    <w:p w14:paraId="2B5CFD59" w14:textId="77777777" w:rsidR="00515BEB" w:rsidRDefault="00000000">
      <w:pPr>
        <w:jc w:val="both"/>
        <w:rPr>
          <w:lang w:eastAsia="zh-CN"/>
        </w:rPr>
      </w:pPr>
      <w:r>
        <w:rPr>
          <w:lang w:eastAsia="zh-CN"/>
        </w:rPr>
        <w:t>检索增强生成（</w:t>
      </w:r>
      <w:r>
        <w:rPr>
          <w:lang w:eastAsia="zh-CN"/>
        </w:rPr>
        <w:t>RAG</w:t>
      </w:r>
      <w:r>
        <w:rPr>
          <w:lang w:eastAsia="zh-CN"/>
        </w:rPr>
        <w:t>）展示了功能实现的具体机制。</w:t>
      </w:r>
      <w:r>
        <w:rPr>
          <w:lang w:eastAsia="zh-CN"/>
        </w:rPr>
        <w:t>Lewis</w:t>
      </w:r>
      <w:r>
        <w:rPr>
          <w:lang w:eastAsia="zh-CN"/>
        </w:rPr>
        <w:t>等将预训练生成模型与外部文档检索结合：系统先检索相关文本，再以文本和问题作为生成依据，并研究通过替换知识索引更新知识。</w:t>
      </w:r>
      <w:r>
        <w:rPr>
          <w:lang w:eastAsia="zh-CN"/>
        </w:rPr>
        <w:t xml:space="preserve">[12] </w:t>
      </w:r>
      <w:r>
        <w:rPr>
          <w:lang w:eastAsia="zh-CN"/>
        </w:rPr>
        <w:t>这一思路使部分知识维护可以通过更新外部资料完成。本文据此分析，知识问答软件的维护对象会包括文档、索引和模型，而不仅是业务代码；用户也可以通过自然语言提出问题，但仍需确认回答是否与依据一致。</w:t>
      </w:r>
    </w:p>
    <w:p w14:paraId="29700A7D" w14:textId="77777777" w:rsidR="00515BEB" w:rsidRDefault="00000000">
      <w:pPr>
        <w:jc w:val="both"/>
        <w:rPr>
          <w:lang w:eastAsia="zh-CN"/>
        </w:rPr>
      </w:pPr>
      <w:r>
        <w:rPr>
          <w:lang w:eastAsia="zh-CN"/>
        </w:rPr>
        <w:lastRenderedPageBreak/>
        <w:t>RAG</w:t>
      </w:r>
      <w:r>
        <w:rPr>
          <w:lang w:eastAsia="zh-CN"/>
        </w:rPr>
        <w:t>原论文研究的是指定数据集上的任务表现，不能证明任何企业知识库应用都可靠。检索不到、检索到过期资料和生成阶段误用材料属于不同失败方式。应用评价应分别观察检索覆盖、回答正确性和证据一致性，并记录模型、提示与索引版本。对会进一步触发业务操作的系统，还需将模型建议与执行权限区分，使不确定输出不会直接变成无法撤销的操作。这些是由机制推导的工程要求，而非论文已验证的普遍效果。</w:t>
      </w:r>
    </w:p>
    <w:p w14:paraId="4A4F1801" w14:textId="77777777" w:rsidR="00515BEB" w:rsidRDefault="00000000">
      <w:pPr>
        <w:jc w:val="both"/>
        <w:rPr>
          <w:lang w:eastAsia="zh-CN"/>
        </w:rPr>
      </w:pPr>
      <w:r>
        <w:rPr>
          <w:lang w:eastAsia="zh-CN"/>
        </w:rPr>
        <w:t>AI</w:t>
      </w:r>
      <w:r>
        <w:rPr>
          <w:lang w:eastAsia="zh-CN"/>
        </w:rPr>
        <w:t>辅助开发同样需要现场证据。</w:t>
      </w:r>
      <w:r>
        <w:rPr>
          <w:lang w:eastAsia="zh-CN"/>
        </w:rPr>
        <w:t>METR</w:t>
      </w:r>
      <w:r>
        <w:rPr>
          <w:lang w:eastAsia="zh-CN"/>
        </w:rPr>
        <w:t>的</w:t>
      </w:r>
      <w:r>
        <w:rPr>
          <w:lang w:eastAsia="zh-CN"/>
        </w:rPr>
        <w:t>2025</w:t>
      </w:r>
      <w:r>
        <w:rPr>
          <w:lang w:eastAsia="zh-CN"/>
        </w:rPr>
        <w:t>年随机对照研究让</w:t>
      </w:r>
      <w:r>
        <w:rPr>
          <w:lang w:eastAsia="zh-CN"/>
        </w:rPr>
        <w:t>16</w:t>
      </w:r>
      <w:r>
        <w:rPr>
          <w:lang w:eastAsia="zh-CN"/>
        </w:rPr>
        <w:t>名有经验的开源开发者完成</w:t>
      </w:r>
      <w:r>
        <w:rPr>
          <w:lang w:eastAsia="zh-CN"/>
        </w:rPr>
        <w:t>246</w:t>
      </w:r>
      <w:r>
        <w:rPr>
          <w:lang w:eastAsia="zh-CN"/>
        </w:rPr>
        <w:t>项真实任务，将任务随机分为允许和不允许使用</w:t>
      </w:r>
      <w:r>
        <w:rPr>
          <w:lang w:eastAsia="zh-CN"/>
        </w:rPr>
        <w:t>AI</w:t>
      </w:r>
      <w:r>
        <w:rPr>
          <w:lang w:eastAsia="zh-CN"/>
        </w:rPr>
        <w:t>两组。工具主要为当时的</w:t>
      </w:r>
      <w:r>
        <w:rPr>
          <w:lang w:eastAsia="zh-CN"/>
        </w:rPr>
        <w:t>Cursor Pro</w:t>
      </w:r>
      <w:r>
        <w:rPr>
          <w:lang w:eastAsia="zh-CN"/>
        </w:rPr>
        <w:t>与</w:t>
      </w:r>
      <w:r>
        <w:rPr>
          <w:lang w:eastAsia="zh-CN"/>
        </w:rPr>
        <w:t>Claude 3.5/3.7 Sonnet</w:t>
      </w:r>
      <w:r>
        <w:rPr>
          <w:lang w:eastAsia="zh-CN"/>
        </w:rPr>
        <w:t>。研究估计，允许</w:t>
      </w:r>
      <w:r>
        <w:rPr>
          <w:lang w:eastAsia="zh-CN"/>
        </w:rPr>
        <w:t>AI</w:t>
      </w:r>
      <w:r>
        <w:rPr>
          <w:lang w:eastAsia="zh-CN"/>
        </w:rPr>
        <w:t>的任务完成耗时增加</w:t>
      </w:r>
      <w:r>
        <w:rPr>
          <w:lang w:eastAsia="zh-CN"/>
        </w:rPr>
        <w:t>19%</w:t>
      </w:r>
      <w:r>
        <w:rPr>
          <w:lang w:eastAsia="zh-CN"/>
        </w:rPr>
        <w:t>；录像分析也观察到工作时间转向提示、等待和审阅输出。</w:t>
      </w:r>
      <w:r>
        <w:rPr>
          <w:lang w:eastAsia="zh-CN"/>
        </w:rPr>
        <w:t xml:space="preserve">[13] </w:t>
      </w:r>
      <w:r>
        <w:rPr>
          <w:lang w:eastAsia="zh-CN"/>
        </w:rPr>
        <w:t>这说明生成代码的便利不必然转化为熟悉大型代码库的开发者的净时间收益。</w:t>
      </w:r>
    </w:p>
    <w:p w14:paraId="5758B9DA" w14:textId="77777777" w:rsidR="00515BEB" w:rsidRDefault="00000000">
      <w:pPr>
        <w:jc w:val="both"/>
        <w:rPr>
          <w:lang w:eastAsia="zh-CN"/>
        </w:rPr>
      </w:pPr>
      <w:r>
        <w:rPr>
          <w:lang w:eastAsia="zh-CN"/>
        </w:rPr>
        <w:t>该结果只能代表</w:t>
      </w:r>
      <w:r>
        <w:rPr>
          <w:lang w:eastAsia="zh-CN"/>
        </w:rPr>
        <w:t>2025</w:t>
      </w:r>
      <w:r>
        <w:rPr>
          <w:lang w:eastAsia="zh-CN"/>
        </w:rPr>
        <w:t>年</w:t>
      </w:r>
      <w:r>
        <w:rPr>
          <w:lang w:eastAsia="zh-CN"/>
        </w:rPr>
        <w:t>2</w:t>
      </w:r>
      <w:r>
        <w:rPr>
          <w:lang w:eastAsia="zh-CN"/>
        </w:rPr>
        <w:t>月至</w:t>
      </w:r>
      <w:r>
        <w:rPr>
          <w:lang w:eastAsia="zh-CN"/>
        </w:rPr>
        <w:t>6</w:t>
      </w:r>
      <w:r>
        <w:rPr>
          <w:lang w:eastAsia="zh-CN"/>
        </w:rPr>
        <w:t>月的研究场景。</w:t>
      </w:r>
      <w:r>
        <w:rPr>
          <w:lang w:eastAsia="zh-CN"/>
        </w:rPr>
        <w:t>METR</w:t>
      </w:r>
      <w:r>
        <w:rPr>
          <w:lang w:eastAsia="zh-CN"/>
        </w:rPr>
        <w:t>于</w:t>
      </w:r>
      <w:r>
        <w:rPr>
          <w:lang w:eastAsia="zh-CN"/>
        </w:rPr>
        <w:t>2026</w:t>
      </w:r>
      <w:r>
        <w:rPr>
          <w:lang w:eastAsia="zh-CN"/>
        </w:rPr>
        <w:t>年</w:t>
      </w:r>
      <w:r>
        <w:rPr>
          <w:lang w:eastAsia="zh-CN"/>
        </w:rPr>
        <w:t>2</w:t>
      </w:r>
      <w:r>
        <w:rPr>
          <w:lang w:eastAsia="zh-CN"/>
        </w:rPr>
        <w:t>月报告后续实验出现可能提速的信号，但参与者与任务选择偏差，以及并发使用智能体时的计时困难，使其不能可靠估计当前提速幅度。</w:t>
      </w:r>
      <w:r>
        <w:rPr>
          <w:lang w:eastAsia="zh-CN"/>
        </w:rPr>
        <w:t xml:space="preserve">[14] </w:t>
      </w:r>
      <w:r>
        <w:rPr>
          <w:lang w:eastAsia="zh-CN"/>
        </w:rPr>
        <w:t>因此，既不能用旧研究断言</w:t>
      </w:r>
      <w:r>
        <w:rPr>
          <w:lang w:eastAsia="zh-CN"/>
        </w:rPr>
        <w:t>AI</w:t>
      </w:r>
      <w:r>
        <w:rPr>
          <w:lang w:eastAsia="zh-CN"/>
        </w:rPr>
        <w:t>始终降低效率，也不能把新工具能力直接换算为统一的生产率增幅。</w:t>
      </w:r>
    </w:p>
    <w:p w14:paraId="01DEB1B9" w14:textId="77777777" w:rsidR="00515BEB" w:rsidRDefault="00000000">
      <w:pPr>
        <w:jc w:val="both"/>
        <w:rPr>
          <w:lang w:eastAsia="zh-CN"/>
        </w:rPr>
      </w:pPr>
      <w:r>
        <w:rPr>
          <w:lang w:eastAsia="zh-CN"/>
        </w:rPr>
        <w:t>更稳妥的归纳是，软件开发正在增加人机协作的候选生成环节，验证与责任并未消失。团队应在自己的任务上测量端到端耗时、缺陷及返工，而非只统计生成代码量；模型功能则应同时接受业务测试与持续评估。新能力降低了部分表达和实现门槛，也提高了对评估数据、上下文质量和人工判断的依赖。</w:t>
      </w:r>
    </w:p>
    <w:p w14:paraId="5754AB4C" w14:textId="77777777" w:rsidR="00515BEB" w:rsidRPr="00D36BE4" w:rsidRDefault="00000000">
      <w:pPr>
        <w:pStyle w:val="1"/>
        <w:rPr>
          <w:rFonts w:ascii="黑体" w:eastAsia="黑体" w:hAnsi="黑体"/>
          <w:lang w:eastAsia="zh-CN"/>
        </w:rPr>
      </w:pPr>
      <w:r w:rsidRPr="00D36BE4">
        <w:rPr>
          <w:rFonts w:ascii="黑体" w:eastAsia="黑体" w:hAnsi="黑体"/>
          <w:lang w:eastAsia="zh-CN"/>
        </w:rPr>
        <w:t>六 软件依赖链的持续验证</w:t>
      </w:r>
    </w:p>
    <w:p w14:paraId="663C5914" w14:textId="77777777" w:rsidR="00515BEB" w:rsidRDefault="00000000">
      <w:pPr>
        <w:jc w:val="both"/>
        <w:rPr>
          <w:lang w:eastAsia="zh-CN"/>
        </w:rPr>
      </w:pPr>
      <w:r>
        <w:rPr>
          <w:lang w:eastAsia="zh-CN"/>
        </w:rPr>
        <w:t>SOA</w:t>
      </w:r>
      <w:r>
        <w:rPr>
          <w:lang w:eastAsia="zh-CN"/>
        </w:rPr>
        <w:t>本就允许跨所有者使用能力，因此</w:t>
      </w:r>
      <w:r>
        <w:rPr>
          <w:lang w:eastAsia="zh-CN"/>
        </w:rPr>
        <w:t>“</w:t>
      </w:r>
      <w:r>
        <w:rPr>
          <w:lang w:eastAsia="zh-CN"/>
        </w:rPr>
        <w:t>跨企业调用</w:t>
      </w:r>
      <w:r>
        <w:rPr>
          <w:lang w:eastAsia="zh-CN"/>
        </w:rPr>
        <w:t>API”</w:t>
      </w:r>
      <w:r>
        <w:rPr>
          <w:lang w:eastAsia="zh-CN"/>
        </w:rPr>
        <w:t>本身不构成服务化后的独立新阶段。</w:t>
      </w:r>
      <w:r>
        <w:rPr>
          <w:lang w:eastAsia="zh-CN"/>
        </w:rPr>
        <w:t xml:space="preserve">[1] </w:t>
      </w:r>
      <w:r>
        <w:rPr>
          <w:lang w:eastAsia="zh-CN"/>
        </w:rPr>
        <w:t>更值得关注的变化，是交付与运行依赖在持续更新过程中需要被识别和验证。一个应用可能同时依赖开源库、基础镜像、构建服务和外部</w:t>
      </w:r>
      <w:r>
        <w:rPr>
          <w:lang w:eastAsia="zh-CN"/>
        </w:rPr>
        <w:t>API</w:t>
      </w:r>
      <w:r>
        <w:rPr>
          <w:lang w:eastAsia="zh-CN"/>
        </w:rPr>
        <w:t>。即使本团队没有修改业务代码，依赖变化也可能改变实际运行结果，这使软件边界超出单一代码仓库。</w:t>
      </w:r>
    </w:p>
    <w:p w14:paraId="34323646" w14:textId="77777777" w:rsidR="00515BEB" w:rsidRDefault="00000000">
      <w:pPr>
        <w:jc w:val="both"/>
        <w:rPr>
          <w:lang w:eastAsia="zh-CN"/>
        </w:rPr>
      </w:pPr>
      <w:r>
        <w:rPr>
          <w:lang w:eastAsia="zh-CN"/>
        </w:rPr>
        <w:t>NIST</w:t>
      </w:r>
      <w:r>
        <w:rPr>
          <w:lang w:eastAsia="zh-CN"/>
        </w:rPr>
        <w:t>安全软件开发框架</w:t>
      </w:r>
      <w:r>
        <w:rPr>
          <w:lang w:eastAsia="zh-CN"/>
        </w:rPr>
        <w:t>SSDF 1.1</w:t>
      </w:r>
      <w:r>
        <w:rPr>
          <w:lang w:eastAsia="zh-CN"/>
        </w:rPr>
        <w:t>将安全实践纳入开发生命周期，并提出保存发布制品与完整性信息，以及收集、维护和共享组件来源数据。</w:t>
      </w:r>
      <w:r>
        <w:rPr>
          <w:lang w:eastAsia="zh-CN"/>
        </w:rPr>
        <w:t xml:space="preserve">[15] </w:t>
      </w:r>
      <w:r>
        <w:rPr>
          <w:lang w:eastAsia="zh-CN"/>
        </w:rPr>
        <w:t>软件物料清单（</w:t>
      </w:r>
      <w:r>
        <w:rPr>
          <w:lang w:eastAsia="zh-CN"/>
        </w:rPr>
        <w:t>SBOM</w:t>
      </w:r>
      <w:r>
        <w:rPr>
          <w:lang w:eastAsia="zh-CN"/>
        </w:rPr>
        <w:t>）可用于记录组成成分；</w:t>
      </w:r>
      <w:r>
        <w:rPr>
          <w:lang w:eastAsia="zh-CN"/>
        </w:rPr>
        <w:t>SLSA v1.2</w:t>
      </w:r>
      <w:r>
        <w:rPr>
          <w:lang w:eastAsia="zh-CN"/>
        </w:rPr>
        <w:t>的构建来源证明进一步描述由谁、以何种过程和输入生成制品。</w:t>
      </w:r>
      <w:r>
        <w:rPr>
          <w:lang w:eastAsia="zh-CN"/>
        </w:rPr>
        <w:t xml:space="preserve">[16] </w:t>
      </w:r>
      <w:r>
        <w:rPr>
          <w:lang w:eastAsia="zh-CN"/>
        </w:rPr>
        <w:t>二者解决的问题不同：知道使用了哪些组件，有助于定位影响；验证构建来源，则有助于判断收到的文件是否符合预期生产过程。</w:t>
      </w:r>
    </w:p>
    <w:p w14:paraId="0558E563" w14:textId="77777777" w:rsidR="00515BEB" w:rsidRDefault="00000000">
      <w:pPr>
        <w:jc w:val="both"/>
        <w:rPr>
          <w:lang w:eastAsia="zh-CN"/>
        </w:rPr>
      </w:pPr>
      <w:r>
        <w:rPr>
          <w:lang w:eastAsia="zh-CN"/>
        </w:rPr>
        <w:lastRenderedPageBreak/>
        <w:t>沿用前述</w:t>
      </w:r>
      <w:r>
        <w:rPr>
          <w:lang w:eastAsia="zh-CN"/>
        </w:rPr>
        <w:t>Cloudflare</w:t>
      </w:r>
      <w:r>
        <w:rPr>
          <w:lang w:eastAsia="zh-CN"/>
        </w:rPr>
        <w:t>案例可以看到，外部平台故障还可能同时影响业务服务和应急管理入口。</w:t>
      </w:r>
      <w:r>
        <w:rPr>
          <w:lang w:eastAsia="zh-CN"/>
        </w:rPr>
        <w:t xml:space="preserve">[9] </w:t>
      </w:r>
      <w:r>
        <w:rPr>
          <w:lang w:eastAsia="zh-CN"/>
        </w:rPr>
        <w:t>这是同一事故的另一分析角度，不是额外的独立证据。本文据此推导，依赖治理应同时考虑构建来源与运行依赖：前者关注制品和版本，后者关注权限、接口变化、故障传播以及必要的替代访问路径。</w:t>
      </w:r>
    </w:p>
    <w:p w14:paraId="3E64C528" w14:textId="77777777" w:rsidR="00515BEB" w:rsidRDefault="00000000">
      <w:pPr>
        <w:jc w:val="both"/>
        <w:rPr>
          <w:lang w:eastAsia="zh-CN"/>
        </w:rPr>
      </w:pPr>
      <w:r>
        <w:rPr>
          <w:lang w:eastAsia="zh-CN"/>
        </w:rPr>
        <w:t>持续验证也有成本。来源证明无法保证业务代码不存在漏洞，组件清单也不会自动完成修复；引入集中构建平台，还需要信任并保护该平台。合理做法是按依赖的重要程度分配审查和验证资源，让更新、发现问题、确定影响和修复形成可追踪过程。安全不宜作为所有变化之外的附加检查，而应成为软件持续生产和提供服务时的责任。</w:t>
      </w:r>
    </w:p>
    <w:p w14:paraId="3AEC603B" w14:textId="77777777" w:rsidR="00515BEB" w:rsidRPr="00D36BE4" w:rsidRDefault="00000000">
      <w:pPr>
        <w:pStyle w:val="1"/>
        <w:rPr>
          <w:rFonts w:ascii="黑体" w:eastAsia="黑体" w:hAnsi="黑体"/>
          <w:lang w:eastAsia="zh-CN"/>
        </w:rPr>
      </w:pPr>
      <w:r w:rsidRPr="00D36BE4">
        <w:rPr>
          <w:rFonts w:ascii="黑体" w:eastAsia="黑体" w:hAnsi="黑体"/>
          <w:lang w:eastAsia="zh-CN"/>
        </w:rPr>
        <w:t>七 综合比较与结论</w:t>
      </w:r>
    </w:p>
    <w:p w14:paraId="193482F7" w14:textId="77777777" w:rsidR="00515BEB" w:rsidRDefault="00000000">
      <w:pPr>
        <w:jc w:val="both"/>
        <w:rPr>
          <w:lang w:eastAsia="zh-CN"/>
        </w:rPr>
      </w:pPr>
      <w:r>
        <w:rPr>
          <w:lang w:eastAsia="zh-CN"/>
        </w:rPr>
        <w:t>表</w:t>
      </w:r>
      <w:r>
        <w:rPr>
          <w:lang w:eastAsia="zh-CN"/>
        </w:rPr>
        <w:t>1</w:t>
      </w:r>
      <w:r>
        <w:rPr>
          <w:lang w:eastAsia="zh-CN"/>
        </w:rPr>
        <w:t>将五项特征放回服务化基线中比较。它们作用于运行资源、交付组织、产品决策、功能实现和依赖治理，彼此可以组合，但没有必然同时采用的关系。</w:t>
      </w:r>
    </w:p>
    <w:p w14:paraId="0E90F4CE" w14:textId="77777777" w:rsidR="00515BEB" w:rsidRDefault="00000000">
      <w:pPr>
        <w:pStyle w:val="af7"/>
        <w:jc w:val="center"/>
        <w:rPr>
          <w:lang w:eastAsia="zh-CN"/>
        </w:rPr>
      </w:pPr>
      <w:r>
        <w:rPr>
          <w:lang w:eastAsia="zh-CN"/>
        </w:rPr>
        <w:t>表</w:t>
      </w:r>
      <w:r>
        <w:rPr>
          <w:lang w:eastAsia="zh-CN"/>
        </w:rPr>
        <w:t xml:space="preserve">1 </w:t>
      </w:r>
      <w:r>
        <w:rPr>
          <w:lang w:eastAsia="zh-CN"/>
        </w:rPr>
        <w:t>服务化基线与后续变化比较</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2041"/>
        <w:gridCol w:w="3572"/>
        <w:gridCol w:w="2268"/>
      </w:tblGrid>
      <w:tr w:rsidR="00515BEB" w14:paraId="44E0BA95" w14:textId="77777777">
        <w:trPr>
          <w:cantSplit/>
          <w:tblHeader/>
          <w:jc w:val="center"/>
        </w:trPr>
        <w:tc>
          <w:tcPr>
            <w:tcW w:w="1191" w:type="dxa"/>
            <w:shd w:val="clear" w:color="auto" w:fill="E6ECF2"/>
            <w:tcMar>
              <w:top w:w="85" w:type="dxa"/>
              <w:left w:w="85" w:type="dxa"/>
              <w:bottom w:w="85" w:type="dxa"/>
              <w:right w:w="85" w:type="dxa"/>
            </w:tcMar>
            <w:vAlign w:val="center"/>
          </w:tcPr>
          <w:p w14:paraId="6A0C49B7" w14:textId="77777777" w:rsidR="00515BEB" w:rsidRDefault="00000000">
            <w:pPr>
              <w:spacing w:after="0" w:line="276" w:lineRule="auto"/>
              <w:ind w:firstLine="0"/>
              <w:jc w:val="center"/>
            </w:pPr>
            <w:proofErr w:type="spellStart"/>
            <w:r>
              <w:rPr>
                <w:b/>
                <w:sz w:val="20"/>
              </w:rPr>
              <w:t>分析维度</w:t>
            </w:r>
            <w:proofErr w:type="spellEnd"/>
          </w:p>
        </w:tc>
        <w:tc>
          <w:tcPr>
            <w:tcW w:w="2041" w:type="dxa"/>
            <w:shd w:val="clear" w:color="auto" w:fill="E6ECF2"/>
            <w:tcMar>
              <w:top w:w="85" w:type="dxa"/>
              <w:left w:w="85" w:type="dxa"/>
              <w:bottom w:w="85" w:type="dxa"/>
              <w:right w:w="85" w:type="dxa"/>
            </w:tcMar>
            <w:vAlign w:val="center"/>
          </w:tcPr>
          <w:p w14:paraId="7474EB3C" w14:textId="77777777" w:rsidR="00515BEB" w:rsidRDefault="00000000">
            <w:pPr>
              <w:spacing w:after="0" w:line="276" w:lineRule="auto"/>
              <w:ind w:firstLine="0"/>
              <w:jc w:val="center"/>
            </w:pPr>
            <w:r>
              <w:rPr>
                <w:b/>
                <w:sz w:val="20"/>
              </w:rPr>
              <w:t>服务化基线</w:t>
            </w:r>
          </w:p>
        </w:tc>
        <w:tc>
          <w:tcPr>
            <w:tcW w:w="3572" w:type="dxa"/>
            <w:shd w:val="clear" w:color="auto" w:fill="E6ECF2"/>
            <w:tcMar>
              <w:top w:w="85" w:type="dxa"/>
              <w:left w:w="85" w:type="dxa"/>
              <w:bottom w:w="85" w:type="dxa"/>
              <w:right w:w="85" w:type="dxa"/>
            </w:tcMar>
            <w:vAlign w:val="center"/>
          </w:tcPr>
          <w:p w14:paraId="4471635E" w14:textId="77777777" w:rsidR="00515BEB" w:rsidRDefault="00000000">
            <w:pPr>
              <w:spacing w:after="0" w:line="276" w:lineRule="auto"/>
              <w:ind w:firstLine="0"/>
              <w:jc w:val="center"/>
              <w:rPr>
                <w:lang w:eastAsia="zh-CN"/>
              </w:rPr>
            </w:pPr>
            <w:r>
              <w:rPr>
                <w:b/>
                <w:sz w:val="20"/>
                <w:lang w:eastAsia="zh-CN"/>
              </w:rPr>
              <w:t>后续变化及机制或案例</w:t>
            </w:r>
          </w:p>
        </w:tc>
        <w:tc>
          <w:tcPr>
            <w:tcW w:w="2268" w:type="dxa"/>
            <w:shd w:val="clear" w:color="auto" w:fill="E6ECF2"/>
            <w:tcMar>
              <w:top w:w="85" w:type="dxa"/>
              <w:left w:w="85" w:type="dxa"/>
              <w:bottom w:w="85" w:type="dxa"/>
              <w:right w:w="85" w:type="dxa"/>
            </w:tcMar>
            <w:vAlign w:val="center"/>
          </w:tcPr>
          <w:p w14:paraId="4CFDEFAE" w14:textId="77777777" w:rsidR="00515BEB" w:rsidRDefault="00000000">
            <w:pPr>
              <w:spacing w:after="0" w:line="276" w:lineRule="auto"/>
              <w:ind w:firstLine="0"/>
              <w:jc w:val="center"/>
            </w:pPr>
            <w:proofErr w:type="spellStart"/>
            <w:r>
              <w:rPr>
                <w:b/>
                <w:sz w:val="20"/>
              </w:rPr>
              <w:t>主要代价</w:t>
            </w:r>
            <w:proofErr w:type="spellEnd"/>
          </w:p>
        </w:tc>
      </w:tr>
      <w:tr w:rsidR="00515BEB" w14:paraId="5F2718BD" w14:textId="77777777">
        <w:trPr>
          <w:cantSplit/>
          <w:jc w:val="center"/>
        </w:trPr>
        <w:tc>
          <w:tcPr>
            <w:tcW w:w="1191" w:type="dxa"/>
            <w:shd w:val="clear" w:color="auto" w:fill="FFFFFF"/>
            <w:tcMar>
              <w:top w:w="85" w:type="dxa"/>
              <w:left w:w="85" w:type="dxa"/>
              <w:bottom w:w="85" w:type="dxa"/>
              <w:right w:w="85" w:type="dxa"/>
            </w:tcMar>
            <w:vAlign w:val="center"/>
          </w:tcPr>
          <w:p w14:paraId="7C62ADD5" w14:textId="77777777" w:rsidR="00515BEB" w:rsidRDefault="00000000">
            <w:pPr>
              <w:spacing w:after="0" w:line="276" w:lineRule="auto"/>
              <w:ind w:firstLine="0"/>
              <w:jc w:val="center"/>
            </w:pPr>
            <w:r>
              <w:rPr>
                <w:sz w:val="20"/>
              </w:rPr>
              <w:t>运行资源</w:t>
            </w:r>
          </w:p>
        </w:tc>
        <w:tc>
          <w:tcPr>
            <w:tcW w:w="2041" w:type="dxa"/>
            <w:shd w:val="clear" w:color="auto" w:fill="FFFFFF"/>
            <w:tcMar>
              <w:top w:w="85" w:type="dxa"/>
              <w:left w:w="85" w:type="dxa"/>
              <w:bottom w:w="85" w:type="dxa"/>
              <w:right w:w="85" w:type="dxa"/>
            </w:tcMar>
            <w:vAlign w:val="center"/>
          </w:tcPr>
          <w:p w14:paraId="70B3BE0F" w14:textId="77777777" w:rsidR="00515BEB" w:rsidRDefault="00000000">
            <w:pPr>
              <w:spacing w:after="0" w:line="276" w:lineRule="auto"/>
              <w:ind w:firstLine="0"/>
              <w:rPr>
                <w:lang w:eastAsia="zh-CN"/>
              </w:rPr>
            </w:pPr>
            <w:r>
              <w:rPr>
                <w:sz w:val="20"/>
                <w:lang w:eastAsia="zh-CN"/>
              </w:rPr>
              <w:t>接口隐藏实现，平台提供运行能力</w:t>
            </w:r>
          </w:p>
        </w:tc>
        <w:tc>
          <w:tcPr>
            <w:tcW w:w="3572" w:type="dxa"/>
            <w:shd w:val="clear" w:color="auto" w:fill="FFFFFF"/>
            <w:tcMar>
              <w:top w:w="85" w:type="dxa"/>
              <w:left w:w="85" w:type="dxa"/>
              <w:bottom w:w="85" w:type="dxa"/>
              <w:right w:w="85" w:type="dxa"/>
            </w:tcMar>
            <w:vAlign w:val="center"/>
          </w:tcPr>
          <w:p w14:paraId="3A8F450E" w14:textId="77777777" w:rsidR="00515BEB" w:rsidRDefault="00000000">
            <w:pPr>
              <w:spacing w:after="0" w:line="276" w:lineRule="auto"/>
              <w:ind w:firstLine="0"/>
            </w:pPr>
            <w:proofErr w:type="spellStart"/>
            <w:r>
              <w:rPr>
                <w:sz w:val="20"/>
              </w:rPr>
              <w:t>声明式配置与自动协调；</w:t>
            </w:r>
            <w:r>
              <w:rPr>
                <w:sz w:val="20"/>
              </w:rPr>
              <w:t>Borg</w:t>
            </w:r>
            <w:r>
              <w:rPr>
                <w:sz w:val="20"/>
              </w:rPr>
              <w:t>、</w:t>
            </w:r>
            <w:r>
              <w:rPr>
                <w:sz w:val="20"/>
              </w:rPr>
              <w:t>Kubernetes</w:t>
            </w:r>
            <w:proofErr w:type="spellEnd"/>
            <w:r>
              <w:rPr>
                <w:sz w:val="20"/>
              </w:rPr>
              <w:t>[4–5]</w:t>
            </w:r>
          </w:p>
        </w:tc>
        <w:tc>
          <w:tcPr>
            <w:tcW w:w="2268" w:type="dxa"/>
            <w:shd w:val="clear" w:color="auto" w:fill="FFFFFF"/>
            <w:tcMar>
              <w:top w:w="85" w:type="dxa"/>
              <w:left w:w="85" w:type="dxa"/>
              <w:bottom w:w="85" w:type="dxa"/>
              <w:right w:w="85" w:type="dxa"/>
            </w:tcMar>
            <w:vAlign w:val="center"/>
          </w:tcPr>
          <w:p w14:paraId="2558EA74" w14:textId="77777777" w:rsidR="00515BEB" w:rsidRDefault="00000000">
            <w:pPr>
              <w:spacing w:after="0" w:line="276" w:lineRule="auto"/>
              <w:ind w:firstLine="0"/>
              <w:rPr>
                <w:lang w:eastAsia="zh-CN"/>
              </w:rPr>
            </w:pPr>
            <w:r>
              <w:rPr>
                <w:sz w:val="20"/>
                <w:lang w:eastAsia="zh-CN"/>
              </w:rPr>
              <w:t>控制系统依赖、分布式排障</w:t>
            </w:r>
          </w:p>
        </w:tc>
      </w:tr>
      <w:tr w:rsidR="00515BEB" w14:paraId="1346C5E1" w14:textId="77777777">
        <w:trPr>
          <w:cantSplit/>
          <w:jc w:val="center"/>
        </w:trPr>
        <w:tc>
          <w:tcPr>
            <w:tcW w:w="1191" w:type="dxa"/>
            <w:shd w:val="clear" w:color="auto" w:fill="FFFFFF"/>
            <w:tcMar>
              <w:top w:w="85" w:type="dxa"/>
              <w:left w:w="85" w:type="dxa"/>
              <w:bottom w:w="85" w:type="dxa"/>
              <w:right w:w="85" w:type="dxa"/>
            </w:tcMar>
            <w:vAlign w:val="center"/>
          </w:tcPr>
          <w:p w14:paraId="79ECF821" w14:textId="77777777" w:rsidR="00515BEB" w:rsidRDefault="00000000">
            <w:pPr>
              <w:spacing w:after="0" w:line="276" w:lineRule="auto"/>
              <w:ind w:firstLine="0"/>
              <w:jc w:val="center"/>
            </w:pPr>
            <w:proofErr w:type="spellStart"/>
            <w:r>
              <w:rPr>
                <w:sz w:val="20"/>
              </w:rPr>
              <w:t>交付责任</w:t>
            </w:r>
            <w:proofErr w:type="spellEnd"/>
          </w:p>
        </w:tc>
        <w:tc>
          <w:tcPr>
            <w:tcW w:w="2041" w:type="dxa"/>
            <w:shd w:val="clear" w:color="auto" w:fill="FFFFFF"/>
            <w:tcMar>
              <w:top w:w="85" w:type="dxa"/>
              <w:left w:w="85" w:type="dxa"/>
              <w:bottom w:w="85" w:type="dxa"/>
              <w:right w:w="85" w:type="dxa"/>
            </w:tcMar>
            <w:vAlign w:val="center"/>
          </w:tcPr>
          <w:p w14:paraId="12F7F24B" w14:textId="77777777" w:rsidR="00515BEB" w:rsidRDefault="00000000">
            <w:pPr>
              <w:spacing w:after="0" w:line="276" w:lineRule="auto"/>
              <w:ind w:firstLine="0"/>
              <w:rPr>
                <w:lang w:eastAsia="zh-CN"/>
              </w:rPr>
            </w:pPr>
            <w:r>
              <w:rPr>
                <w:sz w:val="20"/>
                <w:lang w:eastAsia="zh-CN"/>
              </w:rPr>
              <w:t>提供商托管与维护应用</w:t>
            </w:r>
          </w:p>
        </w:tc>
        <w:tc>
          <w:tcPr>
            <w:tcW w:w="3572" w:type="dxa"/>
            <w:shd w:val="clear" w:color="auto" w:fill="FFFFFF"/>
            <w:tcMar>
              <w:top w:w="85" w:type="dxa"/>
              <w:left w:w="85" w:type="dxa"/>
              <w:bottom w:w="85" w:type="dxa"/>
              <w:right w:w="85" w:type="dxa"/>
            </w:tcMar>
            <w:vAlign w:val="center"/>
          </w:tcPr>
          <w:p w14:paraId="4D16D4BA" w14:textId="77777777" w:rsidR="00515BEB" w:rsidRDefault="00000000">
            <w:pPr>
              <w:spacing w:after="0" w:line="276" w:lineRule="auto"/>
              <w:ind w:firstLine="0"/>
              <w:rPr>
                <w:lang w:eastAsia="zh-CN"/>
              </w:rPr>
            </w:pPr>
            <w:r>
              <w:rPr>
                <w:sz w:val="20"/>
                <w:lang w:eastAsia="zh-CN"/>
              </w:rPr>
              <w:t>小批量发布、</w:t>
            </w:r>
            <w:r>
              <w:rPr>
                <w:sz w:val="20"/>
                <w:lang w:eastAsia="zh-CN"/>
              </w:rPr>
              <w:t>SLO</w:t>
            </w:r>
            <w:r>
              <w:rPr>
                <w:sz w:val="20"/>
                <w:lang w:eastAsia="zh-CN"/>
              </w:rPr>
              <w:t>与错误预算</w:t>
            </w:r>
            <w:r>
              <w:rPr>
                <w:sz w:val="20"/>
                <w:lang w:eastAsia="zh-CN"/>
              </w:rPr>
              <w:t>[7–9]</w:t>
            </w:r>
          </w:p>
        </w:tc>
        <w:tc>
          <w:tcPr>
            <w:tcW w:w="2268" w:type="dxa"/>
            <w:shd w:val="clear" w:color="auto" w:fill="FFFFFF"/>
            <w:tcMar>
              <w:top w:w="85" w:type="dxa"/>
              <w:left w:w="85" w:type="dxa"/>
              <w:bottom w:w="85" w:type="dxa"/>
              <w:right w:w="85" w:type="dxa"/>
            </w:tcMar>
            <w:vAlign w:val="center"/>
          </w:tcPr>
          <w:p w14:paraId="7FEBC739" w14:textId="77777777" w:rsidR="00515BEB" w:rsidRDefault="00000000">
            <w:pPr>
              <w:spacing w:after="0" w:line="276" w:lineRule="auto"/>
              <w:ind w:firstLine="0"/>
            </w:pPr>
            <w:proofErr w:type="spellStart"/>
            <w:r>
              <w:rPr>
                <w:sz w:val="20"/>
              </w:rPr>
              <w:t>灰度隔离、回退与兼容成本</w:t>
            </w:r>
            <w:proofErr w:type="spellEnd"/>
          </w:p>
        </w:tc>
      </w:tr>
      <w:tr w:rsidR="00515BEB" w14:paraId="498A0340" w14:textId="77777777">
        <w:trPr>
          <w:cantSplit/>
          <w:jc w:val="center"/>
        </w:trPr>
        <w:tc>
          <w:tcPr>
            <w:tcW w:w="1191" w:type="dxa"/>
            <w:shd w:val="clear" w:color="auto" w:fill="FFFFFF"/>
            <w:tcMar>
              <w:top w:w="85" w:type="dxa"/>
              <w:left w:w="85" w:type="dxa"/>
              <w:bottom w:w="85" w:type="dxa"/>
              <w:right w:w="85" w:type="dxa"/>
            </w:tcMar>
            <w:vAlign w:val="center"/>
          </w:tcPr>
          <w:p w14:paraId="1D21F912" w14:textId="77777777" w:rsidR="00515BEB" w:rsidRDefault="00000000">
            <w:pPr>
              <w:spacing w:after="0" w:line="276" w:lineRule="auto"/>
              <w:ind w:firstLine="0"/>
              <w:jc w:val="center"/>
            </w:pPr>
            <w:r>
              <w:rPr>
                <w:sz w:val="20"/>
              </w:rPr>
              <w:t>产品改进</w:t>
            </w:r>
          </w:p>
        </w:tc>
        <w:tc>
          <w:tcPr>
            <w:tcW w:w="2041" w:type="dxa"/>
            <w:shd w:val="clear" w:color="auto" w:fill="FFFFFF"/>
            <w:tcMar>
              <w:top w:w="85" w:type="dxa"/>
              <w:left w:w="85" w:type="dxa"/>
              <w:bottom w:w="85" w:type="dxa"/>
              <w:right w:w="85" w:type="dxa"/>
            </w:tcMar>
            <w:vAlign w:val="center"/>
          </w:tcPr>
          <w:p w14:paraId="3B5CE116" w14:textId="77777777" w:rsidR="00515BEB" w:rsidRDefault="00000000">
            <w:pPr>
              <w:spacing w:after="0" w:line="276" w:lineRule="auto"/>
              <w:ind w:firstLine="0"/>
              <w:rPr>
                <w:lang w:eastAsia="zh-CN"/>
              </w:rPr>
            </w:pPr>
            <w:r>
              <w:rPr>
                <w:sz w:val="20"/>
                <w:lang w:eastAsia="zh-CN"/>
              </w:rPr>
              <w:t>持续提供服务并获取运行数据</w:t>
            </w:r>
          </w:p>
        </w:tc>
        <w:tc>
          <w:tcPr>
            <w:tcW w:w="3572" w:type="dxa"/>
            <w:shd w:val="clear" w:color="auto" w:fill="FFFFFF"/>
            <w:tcMar>
              <w:top w:w="85" w:type="dxa"/>
              <w:left w:w="85" w:type="dxa"/>
              <w:bottom w:w="85" w:type="dxa"/>
              <w:right w:w="85" w:type="dxa"/>
            </w:tcMar>
            <w:vAlign w:val="center"/>
          </w:tcPr>
          <w:p w14:paraId="7533CFA6" w14:textId="77777777" w:rsidR="00515BEB" w:rsidRDefault="00000000">
            <w:pPr>
              <w:spacing w:after="0" w:line="276" w:lineRule="auto"/>
              <w:ind w:firstLine="0"/>
              <w:rPr>
                <w:lang w:eastAsia="zh-CN"/>
              </w:rPr>
            </w:pPr>
            <w:r>
              <w:rPr>
                <w:sz w:val="20"/>
                <w:lang w:eastAsia="zh-CN"/>
              </w:rPr>
              <w:t>假设检验与反馈迭代；</w:t>
            </w:r>
            <w:r>
              <w:rPr>
                <w:sz w:val="20"/>
                <w:lang w:eastAsia="zh-CN"/>
              </w:rPr>
              <w:t>Bing</w:t>
            </w:r>
            <w:r>
              <w:rPr>
                <w:sz w:val="20"/>
                <w:lang w:eastAsia="zh-CN"/>
              </w:rPr>
              <w:t>实验</w:t>
            </w:r>
            <w:r>
              <w:rPr>
                <w:sz w:val="20"/>
                <w:lang w:eastAsia="zh-CN"/>
              </w:rPr>
              <w:t>[10]</w:t>
            </w:r>
          </w:p>
        </w:tc>
        <w:tc>
          <w:tcPr>
            <w:tcW w:w="2268" w:type="dxa"/>
            <w:shd w:val="clear" w:color="auto" w:fill="FFFFFF"/>
            <w:tcMar>
              <w:top w:w="85" w:type="dxa"/>
              <w:left w:w="85" w:type="dxa"/>
              <w:bottom w:w="85" w:type="dxa"/>
              <w:right w:w="85" w:type="dxa"/>
            </w:tcMar>
            <w:vAlign w:val="center"/>
          </w:tcPr>
          <w:p w14:paraId="5FB1F828" w14:textId="77777777" w:rsidR="00515BEB" w:rsidRDefault="00000000">
            <w:pPr>
              <w:spacing w:after="0" w:line="276" w:lineRule="auto"/>
              <w:ind w:firstLine="0"/>
              <w:rPr>
                <w:lang w:eastAsia="zh-CN"/>
              </w:rPr>
            </w:pPr>
            <w:r>
              <w:rPr>
                <w:sz w:val="20"/>
                <w:lang w:eastAsia="zh-CN"/>
              </w:rPr>
              <w:t>测量偏差、短期指标局限</w:t>
            </w:r>
          </w:p>
        </w:tc>
      </w:tr>
      <w:tr w:rsidR="00515BEB" w14:paraId="02D11D62" w14:textId="77777777">
        <w:trPr>
          <w:cantSplit/>
          <w:jc w:val="center"/>
        </w:trPr>
        <w:tc>
          <w:tcPr>
            <w:tcW w:w="1191" w:type="dxa"/>
            <w:shd w:val="clear" w:color="auto" w:fill="FFFFFF"/>
            <w:tcMar>
              <w:top w:w="85" w:type="dxa"/>
              <w:left w:w="85" w:type="dxa"/>
              <w:bottom w:w="85" w:type="dxa"/>
              <w:right w:w="85" w:type="dxa"/>
            </w:tcMar>
            <w:vAlign w:val="center"/>
          </w:tcPr>
          <w:p w14:paraId="4EAB9D98" w14:textId="77777777" w:rsidR="00515BEB" w:rsidRDefault="00000000">
            <w:pPr>
              <w:spacing w:after="0" w:line="276" w:lineRule="auto"/>
              <w:ind w:firstLine="0"/>
              <w:jc w:val="center"/>
            </w:pPr>
            <w:proofErr w:type="spellStart"/>
            <w:r>
              <w:rPr>
                <w:sz w:val="20"/>
              </w:rPr>
              <w:t>开发与功能</w:t>
            </w:r>
            <w:proofErr w:type="spellEnd"/>
          </w:p>
        </w:tc>
        <w:tc>
          <w:tcPr>
            <w:tcW w:w="2041" w:type="dxa"/>
            <w:shd w:val="clear" w:color="auto" w:fill="FFFFFF"/>
            <w:tcMar>
              <w:top w:w="85" w:type="dxa"/>
              <w:left w:w="85" w:type="dxa"/>
              <w:bottom w:w="85" w:type="dxa"/>
              <w:right w:w="85" w:type="dxa"/>
            </w:tcMar>
            <w:vAlign w:val="center"/>
          </w:tcPr>
          <w:p w14:paraId="28C9A6EA" w14:textId="77777777" w:rsidR="00515BEB" w:rsidRDefault="00000000">
            <w:pPr>
              <w:spacing w:after="0" w:line="276" w:lineRule="auto"/>
              <w:ind w:firstLine="0"/>
              <w:rPr>
                <w:lang w:eastAsia="zh-CN"/>
              </w:rPr>
            </w:pPr>
            <w:r>
              <w:rPr>
                <w:sz w:val="20"/>
                <w:lang w:eastAsia="zh-CN"/>
              </w:rPr>
              <w:t>接口调用预先实现的能力</w:t>
            </w:r>
          </w:p>
        </w:tc>
        <w:tc>
          <w:tcPr>
            <w:tcW w:w="3572" w:type="dxa"/>
            <w:shd w:val="clear" w:color="auto" w:fill="FFFFFF"/>
            <w:tcMar>
              <w:top w:w="85" w:type="dxa"/>
              <w:left w:w="85" w:type="dxa"/>
              <w:bottom w:w="85" w:type="dxa"/>
              <w:right w:w="85" w:type="dxa"/>
            </w:tcMar>
            <w:vAlign w:val="center"/>
          </w:tcPr>
          <w:p w14:paraId="5B15188D" w14:textId="77777777" w:rsidR="00515BEB" w:rsidRDefault="00000000">
            <w:pPr>
              <w:spacing w:after="0" w:line="276" w:lineRule="auto"/>
              <w:ind w:firstLine="0"/>
              <w:rPr>
                <w:lang w:eastAsia="zh-CN"/>
              </w:rPr>
            </w:pPr>
            <w:r>
              <w:rPr>
                <w:sz w:val="20"/>
                <w:lang w:eastAsia="zh-CN"/>
              </w:rPr>
              <w:t>模型生成候选、检索辅助回答</w:t>
            </w:r>
            <w:r>
              <w:rPr>
                <w:sz w:val="20"/>
                <w:lang w:eastAsia="zh-CN"/>
              </w:rPr>
              <w:t>[12–14]</w:t>
            </w:r>
          </w:p>
        </w:tc>
        <w:tc>
          <w:tcPr>
            <w:tcW w:w="2268" w:type="dxa"/>
            <w:shd w:val="clear" w:color="auto" w:fill="FFFFFF"/>
            <w:tcMar>
              <w:top w:w="85" w:type="dxa"/>
              <w:left w:w="85" w:type="dxa"/>
              <w:bottom w:w="85" w:type="dxa"/>
              <w:right w:w="85" w:type="dxa"/>
            </w:tcMar>
            <w:vAlign w:val="center"/>
          </w:tcPr>
          <w:p w14:paraId="535BC63E" w14:textId="77777777" w:rsidR="00515BEB" w:rsidRDefault="00000000">
            <w:pPr>
              <w:spacing w:after="0" w:line="276" w:lineRule="auto"/>
              <w:ind w:firstLine="0"/>
              <w:rPr>
                <w:lang w:eastAsia="zh-CN"/>
              </w:rPr>
            </w:pPr>
            <w:r>
              <w:rPr>
                <w:sz w:val="20"/>
                <w:lang w:eastAsia="zh-CN"/>
              </w:rPr>
              <w:t>验证与返工、模型和数据依赖</w:t>
            </w:r>
          </w:p>
        </w:tc>
      </w:tr>
      <w:tr w:rsidR="00515BEB" w14:paraId="6BC5A8C8" w14:textId="77777777">
        <w:trPr>
          <w:cantSplit/>
          <w:jc w:val="center"/>
        </w:trPr>
        <w:tc>
          <w:tcPr>
            <w:tcW w:w="1191" w:type="dxa"/>
            <w:shd w:val="clear" w:color="auto" w:fill="FFFFFF"/>
            <w:tcMar>
              <w:top w:w="85" w:type="dxa"/>
              <w:left w:w="85" w:type="dxa"/>
              <w:bottom w:w="85" w:type="dxa"/>
              <w:right w:w="85" w:type="dxa"/>
            </w:tcMar>
            <w:vAlign w:val="center"/>
          </w:tcPr>
          <w:p w14:paraId="2B60D873" w14:textId="77777777" w:rsidR="00515BEB" w:rsidRDefault="00000000">
            <w:pPr>
              <w:spacing w:after="0" w:line="276" w:lineRule="auto"/>
              <w:ind w:firstLine="0"/>
              <w:jc w:val="center"/>
            </w:pPr>
            <w:proofErr w:type="spellStart"/>
            <w:r>
              <w:rPr>
                <w:sz w:val="20"/>
              </w:rPr>
              <w:t>依赖治理</w:t>
            </w:r>
            <w:proofErr w:type="spellEnd"/>
          </w:p>
        </w:tc>
        <w:tc>
          <w:tcPr>
            <w:tcW w:w="2041" w:type="dxa"/>
            <w:shd w:val="clear" w:color="auto" w:fill="FFFFFF"/>
            <w:tcMar>
              <w:top w:w="85" w:type="dxa"/>
              <w:left w:w="85" w:type="dxa"/>
              <w:bottom w:w="85" w:type="dxa"/>
              <w:right w:w="85" w:type="dxa"/>
            </w:tcMar>
            <w:vAlign w:val="center"/>
          </w:tcPr>
          <w:p w14:paraId="3D5C6ED3" w14:textId="77777777" w:rsidR="00515BEB" w:rsidRDefault="00000000">
            <w:pPr>
              <w:spacing w:after="0" w:line="276" w:lineRule="auto"/>
              <w:ind w:firstLine="0"/>
              <w:rPr>
                <w:lang w:eastAsia="zh-CN"/>
              </w:rPr>
            </w:pPr>
            <w:r>
              <w:rPr>
                <w:sz w:val="20"/>
                <w:lang w:eastAsia="zh-CN"/>
              </w:rPr>
              <w:t>跨系统和组织组合能力</w:t>
            </w:r>
          </w:p>
        </w:tc>
        <w:tc>
          <w:tcPr>
            <w:tcW w:w="3572" w:type="dxa"/>
            <w:shd w:val="clear" w:color="auto" w:fill="FFFFFF"/>
            <w:tcMar>
              <w:top w:w="85" w:type="dxa"/>
              <w:left w:w="85" w:type="dxa"/>
              <w:bottom w:w="85" w:type="dxa"/>
              <w:right w:w="85" w:type="dxa"/>
            </w:tcMar>
            <w:vAlign w:val="center"/>
          </w:tcPr>
          <w:p w14:paraId="1E14643B" w14:textId="77777777" w:rsidR="00515BEB" w:rsidRDefault="00000000">
            <w:pPr>
              <w:spacing w:after="0" w:line="276" w:lineRule="auto"/>
              <w:ind w:firstLine="0"/>
              <w:rPr>
                <w:lang w:eastAsia="zh-CN"/>
              </w:rPr>
            </w:pPr>
            <w:r>
              <w:rPr>
                <w:sz w:val="20"/>
                <w:lang w:eastAsia="zh-CN"/>
              </w:rPr>
              <w:t>组件清单与构建来源验证</w:t>
            </w:r>
            <w:r>
              <w:rPr>
                <w:sz w:val="20"/>
                <w:lang w:eastAsia="zh-CN"/>
              </w:rPr>
              <w:t>[15–16]</w:t>
            </w:r>
          </w:p>
        </w:tc>
        <w:tc>
          <w:tcPr>
            <w:tcW w:w="2268" w:type="dxa"/>
            <w:shd w:val="clear" w:color="auto" w:fill="FFFFFF"/>
            <w:tcMar>
              <w:top w:w="85" w:type="dxa"/>
              <w:left w:w="85" w:type="dxa"/>
              <w:bottom w:w="85" w:type="dxa"/>
              <w:right w:w="85" w:type="dxa"/>
            </w:tcMar>
            <w:vAlign w:val="center"/>
          </w:tcPr>
          <w:p w14:paraId="0F55DB2B" w14:textId="77777777" w:rsidR="00515BEB" w:rsidRDefault="00000000">
            <w:pPr>
              <w:spacing w:after="0" w:line="276" w:lineRule="auto"/>
              <w:ind w:firstLine="0"/>
              <w:rPr>
                <w:lang w:eastAsia="zh-CN"/>
              </w:rPr>
            </w:pPr>
            <w:r>
              <w:rPr>
                <w:sz w:val="20"/>
                <w:lang w:eastAsia="zh-CN"/>
              </w:rPr>
              <w:t>治理投入、平台信任边界</w:t>
            </w:r>
          </w:p>
        </w:tc>
      </w:tr>
    </w:tbl>
    <w:p w14:paraId="18E8E849" w14:textId="77777777" w:rsidR="00515BEB" w:rsidRDefault="00000000">
      <w:pPr>
        <w:spacing w:before="120"/>
        <w:jc w:val="both"/>
        <w:rPr>
          <w:lang w:eastAsia="zh-CN"/>
        </w:rPr>
      </w:pPr>
      <w:r>
        <w:rPr>
          <w:lang w:eastAsia="zh-CN"/>
        </w:rPr>
        <w:t>这些变化共同说明，软件的交付对象正在包含更多可运行、可观测和可验证的要素。硬件约束更多由平台吸收，但没有消失；运行环境更动态，故障处理也更依赖控制系统。数据既是处理对象，又参与功能表现和产品决策。用户在使用中提供反馈，部分交互转为自然语言；开发者则需要持续承担验证、兼容与恢复责任。</w:t>
      </w:r>
    </w:p>
    <w:p w14:paraId="3A23F417" w14:textId="77777777" w:rsidR="00515BEB" w:rsidRDefault="00000000">
      <w:pPr>
        <w:jc w:val="both"/>
        <w:rPr>
          <w:lang w:eastAsia="zh-CN"/>
        </w:rPr>
      </w:pPr>
      <w:r>
        <w:rPr>
          <w:lang w:eastAsia="zh-CN"/>
        </w:rPr>
        <w:t>因此，服务化后的软件发展可以概括为在接口抽象之上，进一步组织持续运行、经验反馈和依赖验证。其核心价值是让软件能力能够更有依据地改变，并在变化中维持可用性。选择架构和工具时，应同时回答新增能力解决了什么具体问题、需要哪些条件、失败后由谁恢复。以这种方式理解演进，比宣称某种架构已经取代所有旧架构更符合现有证据。</w:t>
      </w:r>
    </w:p>
    <w:p w14:paraId="1057D958" w14:textId="77777777" w:rsidR="00515BEB" w:rsidRPr="00B81BD5" w:rsidRDefault="00000000">
      <w:pPr>
        <w:pStyle w:val="1"/>
        <w:pageBreakBefore/>
        <w:rPr>
          <w:rFonts w:ascii="黑体" w:eastAsia="黑体" w:hAnsi="黑体"/>
        </w:rPr>
      </w:pPr>
      <w:proofErr w:type="spellStart"/>
      <w:r w:rsidRPr="00B81BD5">
        <w:rPr>
          <w:rFonts w:ascii="黑体" w:eastAsia="黑体" w:hAnsi="黑体"/>
        </w:rPr>
        <w:lastRenderedPageBreak/>
        <w:t>参考文献</w:t>
      </w:r>
      <w:proofErr w:type="spellEnd"/>
    </w:p>
    <w:p w14:paraId="1539C749" w14:textId="77777777" w:rsidR="00515BEB" w:rsidRDefault="00000000">
      <w:pPr>
        <w:keepLines/>
        <w:spacing w:after="80" w:line="252" w:lineRule="auto"/>
        <w:ind w:left="400" w:hanging="400"/>
      </w:pPr>
      <w:r>
        <w:rPr>
          <w:sz w:val="20"/>
        </w:rPr>
        <w:t xml:space="preserve">[1] OASIS. Reference Model for Service Oriented Architecture 1.0[EB/OL]. OASIS Standard, 2006. </w:t>
      </w:r>
      <w:hyperlink r:id="rId8">
        <w:r>
          <w:rPr>
            <w:sz w:val="20"/>
          </w:rPr>
          <w:t>https://docs.oasis-open.org/soa-rm/v1.0/soa-rm.html</w:t>
        </w:r>
      </w:hyperlink>
      <w:r>
        <w:rPr>
          <w:sz w:val="20"/>
        </w:rPr>
        <w:t xml:space="preserve"> </w:t>
      </w:r>
      <w:r>
        <w:rPr>
          <w:sz w:val="20"/>
        </w:rPr>
        <w:t>（访问日期：</w:t>
      </w:r>
      <w:r>
        <w:rPr>
          <w:sz w:val="20"/>
        </w:rPr>
        <w:t>2026-09-08</w:t>
      </w:r>
      <w:r>
        <w:rPr>
          <w:sz w:val="20"/>
        </w:rPr>
        <w:t>）</w:t>
      </w:r>
      <w:r>
        <w:rPr>
          <w:sz w:val="20"/>
        </w:rPr>
        <w:t>.</w:t>
      </w:r>
    </w:p>
    <w:p w14:paraId="649EE57A" w14:textId="77777777" w:rsidR="00515BEB" w:rsidRDefault="00000000">
      <w:pPr>
        <w:keepLines/>
        <w:spacing w:after="80" w:line="252" w:lineRule="auto"/>
        <w:ind w:left="400" w:hanging="400"/>
      </w:pPr>
      <w:r>
        <w:rPr>
          <w:sz w:val="20"/>
        </w:rPr>
        <w:t xml:space="preserve">[2] MELL P, GRANCE T. The NIST Definition of Cloud Computing[R/OL]. NIST SP 800-145, 2011. </w:t>
      </w:r>
      <w:hyperlink r:id="rId9">
        <w:r>
          <w:rPr>
            <w:sz w:val="20"/>
          </w:rPr>
          <w:t>https://doi.org/10.6028/NIST.SP.800-145</w:t>
        </w:r>
      </w:hyperlink>
      <w:r>
        <w:rPr>
          <w:sz w:val="20"/>
        </w:rPr>
        <w:t xml:space="preserve"> </w:t>
      </w:r>
      <w:r>
        <w:rPr>
          <w:sz w:val="20"/>
        </w:rPr>
        <w:t>（访问日期：</w:t>
      </w:r>
      <w:r>
        <w:rPr>
          <w:sz w:val="20"/>
        </w:rPr>
        <w:t>2026-09-08</w:t>
      </w:r>
      <w:r>
        <w:rPr>
          <w:sz w:val="20"/>
        </w:rPr>
        <w:t>）</w:t>
      </w:r>
      <w:r>
        <w:rPr>
          <w:sz w:val="20"/>
        </w:rPr>
        <w:t>.</w:t>
      </w:r>
    </w:p>
    <w:p w14:paraId="3ED66EBC" w14:textId="77777777" w:rsidR="00515BEB" w:rsidRDefault="00000000">
      <w:pPr>
        <w:keepLines/>
        <w:spacing w:after="80" w:line="252" w:lineRule="auto"/>
        <w:ind w:left="400" w:hanging="400"/>
      </w:pPr>
      <w:r>
        <w:rPr>
          <w:sz w:val="20"/>
        </w:rPr>
        <w:t xml:space="preserve">[3] CNCF. </w:t>
      </w:r>
      <w:r>
        <w:rPr>
          <w:sz w:val="20"/>
        </w:rPr>
        <w:t>云原生技术</w:t>
      </w:r>
      <w:r>
        <w:rPr>
          <w:sz w:val="20"/>
        </w:rPr>
        <w:t xml:space="preserve">[EB/OL]. Cloud Native Glossary, 2022. </w:t>
      </w:r>
      <w:hyperlink r:id="rId10">
        <w:r>
          <w:rPr>
            <w:sz w:val="20"/>
          </w:rPr>
          <w:t>https://glossary.cncf.io/zh-cn/cloud-native-tech/</w:t>
        </w:r>
      </w:hyperlink>
      <w:r>
        <w:rPr>
          <w:sz w:val="20"/>
        </w:rPr>
        <w:t xml:space="preserve"> </w:t>
      </w:r>
      <w:r>
        <w:rPr>
          <w:sz w:val="20"/>
        </w:rPr>
        <w:t>（访问日期：</w:t>
      </w:r>
      <w:r>
        <w:rPr>
          <w:sz w:val="20"/>
        </w:rPr>
        <w:t>2026-09-08</w:t>
      </w:r>
      <w:r>
        <w:rPr>
          <w:sz w:val="20"/>
        </w:rPr>
        <w:t>）</w:t>
      </w:r>
      <w:r>
        <w:rPr>
          <w:sz w:val="20"/>
        </w:rPr>
        <w:t>.</w:t>
      </w:r>
    </w:p>
    <w:p w14:paraId="4362EDF9" w14:textId="77777777" w:rsidR="00515BEB" w:rsidRDefault="00000000">
      <w:pPr>
        <w:keepLines/>
        <w:spacing w:after="80" w:line="252" w:lineRule="auto"/>
        <w:ind w:left="400" w:hanging="400"/>
      </w:pPr>
      <w:r>
        <w:rPr>
          <w:sz w:val="20"/>
        </w:rPr>
        <w:t>[4] Kubernetes</w:t>
      </w:r>
      <w:r>
        <w:rPr>
          <w:sz w:val="20"/>
        </w:rPr>
        <w:t>项目</w:t>
      </w:r>
      <w:r>
        <w:rPr>
          <w:sz w:val="20"/>
        </w:rPr>
        <w:t xml:space="preserve">. Controllers[EB/OL]. Kubernetes Documentation, </w:t>
      </w:r>
      <w:r>
        <w:rPr>
          <w:sz w:val="20"/>
        </w:rPr>
        <w:t>持续更新</w:t>
      </w:r>
      <w:r>
        <w:rPr>
          <w:sz w:val="20"/>
        </w:rPr>
        <w:t xml:space="preserve">. </w:t>
      </w:r>
      <w:hyperlink r:id="rId11">
        <w:r>
          <w:rPr>
            <w:sz w:val="20"/>
          </w:rPr>
          <w:t>https://kubernetes.io/docs/concepts/architecture/controller/</w:t>
        </w:r>
      </w:hyperlink>
      <w:r>
        <w:rPr>
          <w:sz w:val="20"/>
        </w:rPr>
        <w:t xml:space="preserve"> </w:t>
      </w:r>
      <w:r>
        <w:rPr>
          <w:sz w:val="20"/>
        </w:rPr>
        <w:t>（访问日期：</w:t>
      </w:r>
      <w:r>
        <w:rPr>
          <w:sz w:val="20"/>
        </w:rPr>
        <w:t>2026-09-08</w:t>
      </w:r>
      <w:r>
        <w:rPr>
          <w:sz w:val="20"/>
        </w:rPr>
        <w:t>）</w:t>
      </w:r>
      <w:r>
        <w:rPr>
          <w:sz w:val="20"/>
        </w:rPr>
        <w:t>.</w:t>
      </w:r>
    </w:p>
    <w:p w14:paraId="455054D4" w14:textId="77777777" w:rsidR="00515BEB" w:rsidRDefault="00000000">
      <w:pPr>
        <w:keepLines/>
        <w:spacing w:after="80" w:line="252" w:lineRule="auto"/>
        <w:ind w:left="400" w:hanging="400"/>
      </w:pPr>
      <w:r>
        <w:rPr>
          <w:sz w:val="20"/>
        </w:rPr>
        <w:t xml:space="preserve">[5] VERMA A, PEDROSA L, KORUPOLU M, et al. Large-scale cluster management at Google with Borg[C/OL]. EuroSys, 2015. </w:t>
      </w:r>
      <w:hyperlink r:id="rId12">
        <w:r>
          <w:rPr>
            <w:sz w:val="20"/>
          </w:rPr>
          <w:t>https://research.google.com/pubs/archive/43438.pdf</w:t>
        </w:r>
      </w:hyperlink>
      <w:r>
        <w:rPr>
          <w:sz w:val="20"/>
        </w:rPr>
        <w:t xml:space="preserve"> </w:t>
      </w:r>
      <w:r>
        <w:rPr>
          <w:sz w:val="20"/>
        </w:rPr>
        <w:t>（访问日期：</w:t>
      </w:r>
      <w:r>
        <w:rPr>
          <w:sz w:val="20"/>
        </w:rPr>
        <w:t>2026-09-08</w:t>
      </w:r>
      <w:r>
        <w:rPr>
          <w:sz w:val="20"/>
        </w:rPr>
        <w:t>）</w:t>
      </w:r>
      <w:r>
        <w:rPr>
          <w:sz w:val="20"/>
        </w:rPr>
        <w:t>.</w:t>
      </w:r>
    </w:p>
    <w:p w14:paraId="35D32E05" w14:textId="77777777" w:rsidR="00515BEB" w:rsidRDefault="00000000">
      <w:pPr>
        <w:keepLines/>
        <w:spacing w:after="80" w:line="252" w:lineRule="auto"/>
        <w:ind w:left="400" w:hanging="400"/>
      </w:pPr>
      <w:r>
        <w:rPr>
          <w:sz w:val="20"/>
        </w:rPr>
        <w:t xml:space="preserve">[6] JONAS E, SCHLEIER-SMITH J, SREEKANTI V, et al. Cloud Programming Simplified: A Berkeley View on Serverless Computing[R/OL]. University of California Berkeley, UCB/EECS-2019-3, 2019. </w:t>
      </w:r>
      <w:hyperlink r:id="rId13">
        <w:r>
          <w:rPr>
            <w:sz w:val="20"/>
          </w:rPr>
          <w:t>https://arxiv.org/abs/1902.03383</w:t>
        </w:r>
      </w:hyperlink>
      <w:r>
        <w:rPr>
          <w:sz w:val="20"/>
        </w:rPr>
        <w:t xml:space="preserve"> </w:t>
      </w:r>
      <w:r>
        <w:rPr>
          <w:sz w:val="20"/>
        </w:rPr>
        <w:t>（访问日期：</w:t>
      </w:r>
      <w:r>
        <w:rPr>
          <w:sz w:val="20"/>
        </w:rPr>
        <w:t>2026-09-08</w:t>
      </w:r>
      <w:r>
        <w:rPr>
          <w:sz w:val="20"/>
        </w:rPr>
        <w:t>）</w:t>
      </w:r>
      <w:r>
        <w:rPr>
          <w:sz w:val="20"/>
        </w:rPr>
        <w:t>.</w:t>
      </w:r>
    </w:p>
    <w:p w14:paraId="019949F7" w14:textId="77777777" w:rsidR="00515BEB" w:rsidRDefault="00000000">
      <w:pPr>
        <w:keepLines/>
        <w:spacing w:after="80" w:line="252" w:lineRule="auto"/>
        <w:ind w:left="400" w:hanging="400"/>
        <w:rPr>
          <w:lang w:eastAsia="zh-CN"/>
        </w:rPr>
      </w:pPr>
      <w:r>
        <w:rPr>
          <w:sz w:val="20"/>
        </w:rPr>
        <w:t xml:space="preserve">[7] WARNER A, DAVIDOVIČ Š. Canarying Releases[M/OL]. The Site Reliability Workbook, </w:t>
      </w:r>
      <w:r>
        <w:rPr>
          <w:sz w:val="20"/>
        </w:rPr>
        <w:t>第</w:t>
      </w:r>
      <w:r>
        <w:rPr>
          <w:sz w:val="20"/>
        </w:rPr>
        <w:t>16</w:t>
      </w:r>
      <w:r>
        <w:rPr>
          <w:sz w:val="20"/>
        </w:rPr>
        <w:t>章</w:t>
      </w:r>
      <w:r>
        <w:rPr>
          <w:sz w:val="20"/>
        </w:rPr>
        <w:t xml:space="preserve">, O’Reilly, 2018. </w:t>
      </w:r>
      <w:hyperlink r:id="rId14">
        <w:r>
          <w:rPr>
            <w:sz w:val="20"/>
            <w:lang w:eastAsia="zh-CN"/>
          </w:rPr>
          <w:t>https://sre.google/workbook/canarying-releases/</w:t>
        </w:r>
      </w:hyperlink>
      <w:r>
        <w:rPr>
          <w:sz w:val="20"/>
          <w:lang w:eastAsia="zh-CN"/>
        </w:rPr>
        <w:t xml:space="preserve"> </w:t>
      </w:r>
      <w:r>
        <w:rPr>
          <w:sz w:val="20"/>
          <w:lang w:eastAsia="zh-CN"/>
        </w:rPr>
        <w:t>（访问日期：</w:t>
      </w:r>
      <w:proofErr w:type="gramStart"/>
      <w:r>
        <w:rPr>
          <w:sz w:val="20"/>
          <w:lang w:eastAsia="zh-CN"/>
        </w:rPr>
        <w:t>2026-09-08</w:t>
      </w:r>
      <w:r>
        <w:rPr>
          <w:sz w:val="20"/>
          <w:lang w:eastAsia="zh-CN"/>
        </w:rPr>
        <w:t>）</w:t>
      </w:r>
      <w:r>
        <w:rPr>
          <w:sz w:val="20"/>
          <w:lang w:eastAsia="zh-CN"/>
        </w:rPr>
        <w:t>.</w:t>
      </w:r>
      <w:proofErr w:type="gramEnd"/>
    </w:p>
    <w:p w14:paraId="70B73B87" w14:textId="77777777" w:rsidR="00515BEB" w:rsidRDefault="00000000">
      <w:pPr>
        <w:keepLines/>
        <w:spacing w:after="80" w:line="252" w:lineRule="auto"/>
        <w:ind w:left="400" w:hanging="400"/>
      </w:pPr>
      <w:r>
        <w:rPr>
          <w:sz w:val="20"/>
        </w:rPr>
        <w:t xml:space="preserve">[8] THURGOOD S. Example Error Budget Policy[M/OL]. The Site Reliability Workbook, </w:t>
      </w:r>
      <w:r>
        <w:rPr>
          <w:sz w:val="20"/>
        </w:rPr>
        <w:t>附录</w:t>
      </w:r>
      <w:r>
        <w:rPr>
          <w:sz w:val="20"/>
        </w:rPr>
        <w:t xml:space="preserve">B, O’Reilly, 2018. </w:t>
      </w:r>
      <w:hyperlink r:id="rId15">
        <w:r>
          <w:rPr>
            <w:sz w:val="20"/>
          </w:rPr>
          <w:t>https://sre.google/workbook/error-budget-policy/</w:t>
        </w:r>
      </w:hyperlink>
      <w:r>
        <w:rPr>
          <w:sz w:val="20"/>
        </w:rPr>
        <w:t xml:space="preserve"> </w:t>
      </w:r>
      <w:r>
        <w:rPr>
          <w:sz w:val="20"/>
        </w:rPr>
        <w:t>（访问日期：</w:t>
      </w:r>
      <w:r>
        <w:rPr>
          <w:sz w:val="20"/>
        </w:rPr>
        <w:t>2026-09-08</w:t>
      </w:r>
      <w:r>
        <w:rPr>
          <w:sz w:val="20"/>
        </w:rPr>
        <w:t>）</w:t>
      </w:r>
      <w:r>
        <w:rPr>
          <w:sz w:val="20"/>
        </w:rPr>
        <w:t>.</w:t>
      </w:r>
    </w:p>
    <w:p w14:paraId="4073B017" w14:textId="77777777" w:rsidR="00515BEB" w:rsidRDefault="00000000">
      <w:pPr>
        <w:keepLines/>
        <w:spacing w:after="80" w:line="252" w:lineRule="auto"/>
        <w:ind w:left="400" w:hanging="400"/>
      </w:pPr>
      <w:r>
        <w:rPr>
          <w:sz w:val="20"/>
        </w:rPr>
        <w:t xml:space="preserve">[9] GRAHAM-CUMMING J. Details of the Cloudflare outage on July 2, 2019[EB/OL]. Cloudflare Blog, 2019-07-12. </w:t>
      </w:r>
      <w:hyperlink r:id="rId16">
        <w:r>
          <w:rPr>
            <w:sz w:val="20"/>
          </w:rPr>
          <w:t>https://blog.cloudflare.com/details-of-the-cloudflare-outage-on-july-2-2019/</w:t>
        </w:r>
      </w:hyperlink>
      <w:r>
        <w:rPr>
          <w:sz w:val="20"/>
        </w:rPr>
        <w:t xml:space="preserve"> </w:t>
      </w:r>
      <w:r>
        <w:rPr>
          <w:sz w:val="20"/>
        </w:rPr>
        <w:t>（访问日期：</w:t>
      </w:r>
      <w:r>
        <w:rPr>
          <w:sz w:val="20"/>
        </w:rPr>
        <w:t>2026-09-08</w:t>
      </w:r>
      <w:r>
        <w:rPr>
          <w:sz w:val="20"/>
        </w:rPr>
        <w:t>）</w:t>
      </w:r>
      <w:r>
        <w:rPr>
          <w:sz w:val="20"/>
        </w:rPr>
        <w:t>.</w:t>
      </w:r>
    </w:p>
    <w:p w14:paraId="31374616" w14:textId="77777777" w:rsidR="00515BEB" w:rsidRDefault="00000000">
      <w:pPr>
        <w:keepLines/>
        <w:spacing w:after="80" w:line="252" w:lineRule="auto"/>
        <w:ind w:left="400" w:hanging="400"/>
        <w:rPr>
          <w:lang w:eastAsia="zh-CN"/>
        </w:rPr>
      </w:pPr>
      <w:r>
        <w:rPr>
          <w:sz w:val="20"/>
        </w:rPr>
        <w:t xml:space="preserve">[10] FABIJAN A, DMITRIEV P, HOLMSTRÖM OLSSON H, et al. The Evolution of Continuous Experimentation in Software Product Development: From Data to a Data-driven Organization at Scale[C/OL]. </w:t>
      </w:r>
      <w:r>
        <w:rPr>
          <w:sz w:val="20"/>
          <w:lang w:eastAsia="zh-CN"/>
        </w:rPr>
        <w:t xml:space="preserve">ICSE, 2017. </w:t>
      </w:r>
      <w:hyperlink r:id="rId17">
        <w:r>
          <w:rPr>
            <w:sz w:val="20"/>
            <w:lang w:eastAsia="zh-CN"/>
          </w:rPr>
          <w:t>https://www.microsoft.com/en-us/research/wp-content/uploads/2020/07/2017-05-ICSE2017_EvolutionOfExP.pdf</w:t>
        </w:r>
      </w:hyperlink>
      <w:r>
        <w:rPr>
          <w:sz w:val="20"/>
          <w:lang w:eastAsia="zh-CN"/>
        </w:rPr>
        <w:t xml:space="preserve"> </w:t>
      </w:r>
      <w:r>
        <w:rPr>
          <w:sz w:val="20"/>
          <w:lang w:eastAsia="zh-CN"/>
        </w:rPr>
        <w:t>（访问日期：</w:t>
      </w:r>
      <w:proofErr w:type="gramStart"/>
      <w:r>
        <w:rPr>
          <w:sz w:val="20"/>
          <w:lang w:eastAsia="zh-CN"/>
        </w:rPr>
        <w:t>2026-09-08</w:t>
      </w:r>
      <w:r>
        <w:rPr>
          <w:sz w:val="20"/>
          <w:lang w:eastAsia="zh-CN"/>
        </w:rPr>
        <w:t>）</w:t>
      </w:r>
      <w:r>
        <w:rPr>
          <w:sz w:val="20"/>
          <w:lang w:eastAsia="zh-CN"/>
        </w:rPr>
        <w:t>.</w:t>
      </w:r>
      <w:proofErr w:type="gramEnd"/>
    </w:p>
    <w:p w14:paraId="30888AC4" w14:textId="77777777" w:rsidR="00515BEB" w:rsidRDefault="00000000">
      <w:pPr>
        <w:keepLines/>
        <w:spacing w:after="80" w:line="252" w:lineRule="auto"/>
        <w:ind w:left="400" w:hanging="400"/>
      </w:pPr>
      <w:r>
        <w:rPr>
          <w:sz w:val="20"/>
        </w:rPr>
        <w:t xml:space="preserve">[11] SCULLEY D, HOLT G, GOLOVIN D, et al. Hidden Technical Debt in Machine Learning Systems[C/OL]. Advances in Neural Information Processing Systems 28, 2015. </w:t>
      </w:r>
      <w:hyperlink r:id="rId18">
        <w:r>
          <w:rPr>
            <w:sz w:val="20"/>
          </w:rPr>
          <w:t>https://proceedings.neurips.cc/paper/2015/file/86df7dcfd896fcaf2674f757a2463eba-Paper.pdf</w:t>
        </w:r>
      </w:hyperlink>
      <w:r>
        <w:rPr>
          <w:sz w:val="20"/>
        </w:rPr>
        <w:t xml:space="preserve"> </w:t>
      </w:r>
      <w:r>
        <w:rPr>
          <w:sz w:val="20"/>
        </w:rPr>
        <w:t>（访问日期：</w:t>
      </w:r>
      <w:r>
        <w:rPr>
          <w:sz w:val="20"/>
        </w:rPr>
        <w:t>2026-09-08</w:t>
      </w:r>
      <w:r>
        <w:rPr>
          <w:sz w:val="20"/>
        </w:rPr>
        <w:t>）</w:t>
      </w:r>
      <w:r>
        <w:rPr>
          <w:sz w:val="20"/>
        </w:rPr>
        <w:t>.</w:t>
      </w:r>
    </w:p>
    <w:p w14:paraId="014053B4" w14:textId="77777777" w:rsidR="00515BEB" w:rsidRDefault="00000000">
      <w:pPr>
        <w:keepLines/>
        <w:spacing w:after="80" w:line="252" w:lineRule="auto"/>
        <w:ind w:left="400" w:hanging="400"/>
      </w:pPr>
      <w:r>
        <w:rPr>
          <w:sz w:val="20"/>
        </w:rPr>
        <w:t xml:space="preserve">[12] LEWIS P, PEREZ E, PIKTUS A, et al. Retrieval-Augmented Generation for Knowledge-Intensive NLP Tasks[C/OL]. Advances in Neural Information Processing Systems 33, 2020. </w:t>
      </w:r>
      <w:hyperlink r:id="rId19">
        <w:r>
          <w:rPr>
            <w:sz w:val="20"/>
          </w:rPr>
          <w:t>https://proceedings.nips.cc/paper/2020/file/6b493230205f780e1bc26945df7481e5-Paper.pdf</w:t>
        </w:r>
      </w:hyperlink>
      <w:r>
        <w:rPr>
          <w:sz w:val="20"/>
        </w:rPr>
        <w:t xml:space="preserve"> </w:t>
      </w:r>
      <w:r>
        <w:rPr>
          <w:sz w:val="20"/>
        </w:rPr>
        <w:t>（访问日期：</w:t>
      </w:r>
      <w:r>
        <w:rPr>
          <w:sz w:val="20"/>
        </w:rPr>
        <w:t>2026-09-08</w:t>
      </w:r>
      <w:r>
        <w:rPr>
          <w:sz w:val="20"/>
        </w:rPr>
        <w:t>）</w:t>
      </w:r>
      <w:r>
        <w:rPr>
          <w:sz w:val="20"/>
        </w:rPr>
        <w:t>.</w:t>
      </w:r>
    </w:p>
    <w:p w14:paraId="1BD7D358" w14:textId="77777777" w:rsidR="00515BEB" w:rsidRDefault="00000000">
      <w:pPr>
        <w:keepLines/>
        <w:spacing w:after="80" w:line="252" w:lineRule="auto"/>
        <w:ind w:left="400" w:hanging="400"/>
      </w:pPr>
      <w:r>
        <w:rPr>
          <w:sz w:val="20"/>
        </w:rPr>
        <w:t xml:space="preserve">[13] BECKER J, RUSH N, BARNES B, et al. Measuring the Impact of Early-2025 AI on Experienced Open-Source Developer Productivity[R/OL]. METR, 2025. </w:t>
      </w:r>
      <w:hyperlink r:id="rId20">
        <w:r>
          <w:rPr>
            <w:sz w:val="20"/>
          </w:rPr>
          <w:t>https://metr.org/Early_2025_AI_Experienced_OS_Devs_Study-paper.pdf</w:t>
        </w:r>
      </w:hyperlink>
      <w:r>
        <w:rPr>
          <w:sz w:val="20"/>
        </w:rPr>
        <w:t xml:space="preserve"> </w:t>
      </w:r>
      <w:r>
        <w:rPr>
          <w:sz w:val="20"/>
        </w:rPr>
        <w:t>（访问日期：</w:t>
      </w:r>
      <w:r>
        <w:rPr>
          <w:sz w:val="20"/>
        </w:rPr>
        <w:t>2026-09-08</w:t>
      </w:r>
      <w:r>
        <w:rPr>
          <w:sz w:val="20"/>
        </w:rPr>
        <w:t>）</w:t>
      </w:r>
      <w:r>
        <w:rPr>
          <w:sz w:val="20"/>
        </w:rPr>
        <w:t>.</w:t>
      </w:r>
    </w:p>
    <w:p w14:paraId="41D39E3A" w14:textId="77777777" w:rsidR="00515BEB" w:rsidRDefault="00000000">
      <w:pPr>
        <w:keepLines/>
        <w:spacing w:after="80" w:line="252" w:lineRule="auto"/>
        <w:ind w:left="400" w:hanging="400"/>
      </w:pPr>
      <w:r>
        <w:rPr>
          <w:sz w:val="20"/>
        </w:rPr>
        <w:t xml:space="preserve">[14] METR. We are Changing our Developer Productivity Experiment Design[EB/OL]. METR Blog, 2026-02-24. </w:t>
      </w:r>
      <w:hyperlink r:id="rId21">
        <w:r>
          <w:rPr>
            <w:sz w:val="20"/>
          </w:rPr>
          <w:t>https://metr.org/blog/2026-02-24-uplift-update/</w:t>
        </w:r>
      </w:hyperlink>
      <w:r>
        <w:rPr>
          <w:sz w:val="20"/>
        </w:rPr>
        <w:t xml:space="preserve"> </w:t>
      </w:r>
      <w:r>
        <w:rPr>
          <w:sz w:val="20"/>
        </w:rPr>
        <w:t>（访问日期：</w:t>
      </w:r>
      <w:r>
        <w:rPr>
          <w:sz w:val="20"/>
        </w:rPr>
        <w:t>2026-09-08</w:t>
      </w:r>
      <w:r>
        <w:rPr>
          <w:sz w:val="20"/>
        </w:rPr>
        <w:t>）</w:t>
      </w:r>
      <w:r>
        <w:rPr>
          <w:sz w:val="20"/>
        </w:rPr>
        <w:t>.</w:t>
      </w:r>
    </w:p>
    <w:p w14:paraId="6E69F271" w14:textId="77777777" w:rsidR="00515BEB" w:rsidRDefault="00000000">
      <w:pPr>
        <w:keepLines/>
        <w:spacing w:after="80" w:line="252" w:lineRule="auto"/>
        <w:ind w:left="400" w:hanging="400"/>
      </w:pPr>
      <w:r>
        <w:rPr>
          <w:sz w:val="20"/>
        </w:rPr>
        <w:t xml:space="preserve">[15] SOUPPAYA M, SCARFONE K, DODSON D. Secure Software Development Framework (SSDF) Version 1.1: Recommendations for Mitigating the Risk of Software Vulnerabilities[R/OL]. NIST SP 800-218, 2022. </w:t>
      </w:r>
      <w:hyperlink r:id="rId22">
        <w:r>
          <w:rPr>
            <w:sz w:val="20"/>
          </w:rPr>
          <w:t>https://doi.org/10.6028/NIST.SP.800-218</w:t>
        </w:r>
      </w:hyperlink>
      <w:r>
        <w:rPr>
          <w:sz w:val="20"/>
        </w:rPr>
        <w:t xml:space="preserve"> </w:t>
      </w:r>
      <w:r>
        <w:rPr>
          <w:sz w:val="20"/>
        </w:rPr>
        <w:t>（访问日期：</w:t>
      </w:r>
      <w:r>
        <w:rPr>
          <w:sz w:val="20"/>
        </w:rPr>
        <w:t>2026-09-08</w:t>
      </w:r>
      <w:r>
        <w:rPr>
          <w:sz w:val="20"/>
        </w:rPr>
        <w:t>）</w:t>
      </w:r>
      <w:r>
        <w:rPr>
          <w:sz w:val="20"/>
        </w:rPr>
        <w:t>.</w:t>
      </w:r>
    </w:p>
    <w:p w14:paraId="7186D9A0" w14:textId="77777777" w:rsidR="00515BEB" w:rsidRDefault="00000000">
      <w:pPr>
        <w:keepLines/>
        <w:spacing w:after="80" w:line="252" w:lineRule="auto"/>
        <w:ind w:left="400" w:hanging="400"/>
        <w:rPr>
          <w:lang w:eastAsia="zh-CN"/>
        </w:rPr>
      </w:pPr>
      <w:r>
        <w:rPr>
          <w:sz w:val="20"/>
        </w:rPr>
        <w:t>[16] SLSA</w:t>
      </w:r>
      <w:r>
        <w:rPr>
          <w:sz w:val="20"/>
        </w:rPr>
        <w:t>项目</w:t>
      </w:r>
      <w:r>
        <w:rPr>
          <w:sz w:val="20"/>
        </w:rPr>
        <w:t xml:space="preserve">. SLSA specification v1.2: Build Provenance[EB/OL]. </w:t>
      </w:r>
      <w:r>
        <w:rPr>
          <w:sz w:val="20"/>
          <w:lang w:eastAsia="zh-CN"/>
        </w:rPr>
        <w:t xml:space="preserve">SLSA, v1.2. </w:t>
      </w:r>
      <w:hyperlink r:id="rId23">
        <w:r>
          <w:rPr>
            <w:sz w:val="20"/>
            <w:lang w:eastAsia="zh-CN"/>
          </w:rPr>
          <w:t>https://slsa.dev/spec/v1.2/build-provenance</w:t>
        </w:r>
      </w:hyperlink>
      <w:r>
        <w:rPr>
          <w:sz w:val="20"/>
          <w:lang w:eastAsia="zh-CN"/>
        </w:rPr>
        <w:t xml:space="preserve"> </w:t>
      </w:r>
      <w:r>
        <w:rPr>
          <w:sz w:val="20"/>
          <w:lang w:eastAsia="zh-CN"/>
        </w:rPr>
        <w:t>（访问日期：</w:t>
      </w:r>
      <w:proofErr w:type="gramStart"/>
      <w:r>
        <w:rPr>
          <w:sz w:val="20"/>
          <w:lang w:eastAsia="zh-CN"/>
        </w:rPr>
        <w:t>2026-09-08</w:t>
      </w:r>
      <w:r>
        <w:rPr>
          <w:sz w:val="20"/>
          <w:lang w:eastAsia="zh-CN"/>
        </w:rPr>
        <w:t>）</w:t>
      </w:r>
      <w:r>
        <w:rPr>
          <w:sz w:val="20"/>
          <w:lang w:eastAsia="zh-CN"/>
        </w:rPr>
        <w:t>.</w:t>
      </w:r>
      <w:proofErr w:type="gramEnd"/>
    </w:p>
    <w:sectPr w:rsidR="00515BEB" w:rsidSect="00034616">
      <w:footerReference w:type="default" r:id="rId24"/>
      <w:pgSz w:w="11906" w:h="16838"/>
      <w:pgMar w:top="1332" w:right="1417" w:bottom="1247" w:left="1417" w:header="72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4B83" w14:textId="77777777" w:rsidR="00B905FB" w:rsidRDefault="00B905FB">
      <w:pPr>
        <w:spacing w:after="0" w:line="240" w:lineRule="auto"/>
      </w:pPr>
      <w:r>
        <w:separator/>
      </w:r>
    </w:p>
  </w:endnote>
  <w:endnote w:type="continuationSeparator" w:id="0">
    <w:p w14:paraId="7C6C8DBA" w14:textId="77777777" w:rsidR="00B905FB" w:rsidRDefault="00B90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B0D" w14:textId="77777777" w:rsidR="00515BEB" w:rsidRDefault="00000000">
    <w:pPr>
      <w:pStyle w:val="a7"/>
      <w:ind w:firstLine="0"/>
      <w:jc w:val="center"/>
    </w:pPr>
    <w:r>
      <w:fldChar w:fldCharType="begin"/>
    </w:r>
    <w:r>
      <w:instrText>PAGE</w:instrText>
    </w:r>
    <w:r>
      <w:fldChar w:fldCharType="separate"/>
    </w:r>
    <w:r w:rsidR="00B774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B1DE" w14:textId="77777777" w:rsidR="00B905FB" w:rsidRDefault="00B905FB">
      <w:pPr>
        <w:spacing w:after="0" w:line="240" w:lineRule="auto"/>
      </w:pPr>
      <w:r>
        <w:separator/>
      </w:r>
    </w:p>
  </w:footnote>
  <w:footnote w:type="continuationSeparator" w:id="0">
    <w:p w14:paraId="48BCCA4A" w14:textId="77777777" w:rsidR="00B905FB" w:rsidRDefault="00B90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3336762">
    <w:abstractNumId w:val="8"/>
  </w:num>
  <w:num w:numId="2" w16cid:durableId="880676514">
    <w:abstractNumId w:val="6"/>
  </w:num>
  <w:num w:numId="3" w16cid:durableId="404768939">
    <w:abstractNumId w:val="5"/>
  </w:num>
  <w:num w:numId="4" w16cid:durableId="1168131126">
    <w:abstractNumId w:val="4"/>
  </w:num>
  <w:num w:numId="5" w16cid:durableId="880214028">
    <w:abstractNumId w:val="7"/>
  </w:num>
  <w:num w:numId="6" w16cid:durableId="1111314356">
    <w:abstractNumId w:val="3"/>
  </w:num>
  <w:num w:numId="7" w16cid:durableId="1072972395">
    <w:abstractNumId w:val="2"/>
  </w:num>
  <w:num w:numId="8" w16cid:durableId="555363696">
    <w:abstractNumId w:val="1"/>
  </w:num>
  <w:num w:numId="9" w16cid:durableId="127273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BEB"/>
    <w:rsid w:val="00701DA6"/>
    <w:rsid w:val="00AA1D8D"/>
    <w:rsid w:val="00B47730"/>
    <w:rsid w:val="00B774BA"/>
    <w:rsid w:val="00B81BD5"/>
    <w:rsid w:val="00B905FB"/>
    <w:rsid w:val="00CB0664"/>
    <w:rsid w:val="00D36BE4"/>
    <w:rsid w:val="00D70D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7D5E27"/>
  <w14:defaultImageDpi w14:val="300"/>
  <w15:docId w15:val="{76A63DC2-F479-452E-B336-1C166963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80" w:after="16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40" w:line="276" w:lineRule="auto"/>
      <w:ind w:firstLine="0"/>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60" w:after="140" w:line="240" w:lineRule="auto"/>
      <w:ind w:firstLine="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asis-open.org/soa-rm/v1.0/soa-rm.html" TargetMode="External"/><Relationship Id="rId13" Type="http://schemas.openxmlformats.org/officeDocument/2006/relationships/hyperlink" Target="https://arxiv.org/abs/1902.03383" TargetMode="External"/><Relationship Id="rId18" Type="http://schemas.openxmlformats.org/officeDocument/2006/relationships/hyperlink" Target="https://proceedings.neurips.cc/paper/2015/file/86df7dcfd896fcaf2674f757a2463eba-Paper.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etr.org/blog/2026-02-24-uplift-update/" TargetMode="External"/><Relationship Id="rId7" Type="http://schemas.openxmlformats.org/officeDocument/2006/relationships/endnotes" Target="endnotes.xml"/><Relationship Id="rId12" Type="http://schemas.openxmlformats.org/officeDocument/2006/relationships/hyperlink" Target="https://research.google.com/pubs/archive/43438.pdf" TargetMode="External"/><Relationship Id="rId17" Type="http://schemas.openxmlformats.org/officeDocument/2006/relationships/hyperlink" Target="https://www.microsoft.com/en-us/research/wp-content/uploads/2020/07/2017-05-ICSE2017_EvolutionOfExP.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log.cloudflare.com/details-of-the-cloudflare-outage-on-july-2-2019/" TargetMode="External"/><Relationship Id="rId20" Type="http://schemas.openxmlformats.org/officeDocument/2006/relationships/hyperlink" Target="https://metr.org/Early_2025_AI_Experienced_OS_Devs_Study-pap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bernetes.io/docs/concepts/architecture/controller/"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re.google/workbook/error-budget-policy/" TargetMode="External"/><Relationship Id="rId23" Type="http://schemas.openxmlformats.org/officeDocument/2006/relationships/hyperlink" Target="https://slsa.dev/spec/v1.2/build-provenance" TargetMode="External"/><Relationship Id="rId10" Type="http://schemas.openxmlformats.org/officeDocument/2006/relationships/hyperlink" Target="https://glossary.cncf.io/zh-cn/cloud-native-tech/" TargetMode="External"/><Relationship Id="rId19" Type="http://schemas.openxmlformats.org/officeDocument/2006/relationships/hyperlink" Target="https://proceedings.nips.cc/paper/2020/file/6b493230205f780e1bc26945df7481e5-Paper.pdf" TargetMode="External"/><Relationship Id="rId4" Type="http://schemas.openxmlformats.org/officeDocument/2006/relationships/settings" Target="settings.xml"/><Relationship Id="rId9" Type="http://schemas.openxmlformats.org/officeDocument/2006/relationships/hyperlink" Target="https://doi.org/10.6028/NIST.SP.800-145" TargetMode="External"/><Relationship Id="rId14" Type="http://schemas.openxmlformats.org/officeDocument/2006/relationships/hyperlink" Target="https://sre.google/workbook/canarying-releases/" TargetMode="External"/><Relationship Id="rId22" Type="http://schemas.openxmlformats.org/officeDocument/2006/relationships/hyperlink" Target="https://doi.org/10.6028/NIST.SP.8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4307</Words>
  <Characters>6247</Characters>
  <Application>Microsoft Office Word</Application>
  <DocSecurity>0</DocSecurity>
  <Lines>178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服务化后的软件发展新特征调研报告</dc:title>
  <dc:subject>软件服务化基础上的后续演进与机制分析</dc:subject>
  <dc:creator/>
  <cp:keywords>软件服务化 云原生 持续交付 在线实验 人工智能 软件供应链</cp:keywords>
  <dc:description>generated by python-docx</dc:description>
  <cp:lastModifiedBy>ft 李</cp:lastModifiedBy>
  <cp:revision>5</cp:revision>
  <dcterms:created xsi:type="dcterms:W3CDTF">2013-12-23T23:15:00Z</dcterms:created>
  <dcterms:modified xsi:type="dcterms:W3CDTF">2026-09-08T14:40:00Z</dcterms:modified>
  <cp:category/>
</cp:coreProperties>
</file>