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3BA23">
      <w:pPr>
        <w:pStyle w:val="2"/>
        <w:ind w:left="0" w:leftChars="0"/>
        <w:jc w:val="center"/>
        <w:outlineLvl w:val="9"/>
        <w:rPr>
          <w:rFonts w:hint="eastAsia" w:ascii="黑体" w:hAnsi="黑体" w:eastAsia="黑体" w:cs="黑体"/>
          <w:sz w:val="32"/>
          <w:szCs w:val="32"/>
        </w:rPr>
      </w:pPr>
      <w:r>
        <w:rPr>
          <w:rFonts w:hint="eastAsia" w:ascii="黑体" w:hAnsi="黑体" w:eastAsia="黑体" w:cs="黑体"/>
          <w:sz w:val="32"/>
          <w:szCs w:val="32"/>
        </w:rPr>
        <w:t>“AI 赋能社区食品安全共治新生态” 调查报告</w:t>
      </w:r>
    </w:p>
    <w:p w14:paraId="6F9007E6">
      <w:pPr>
        <w:pStyle w:val="3"/>
        <w:ind w:left="0" w:leftChars="0" w:firstLine="321" w:firstLineChars="100"/>
        <w:jc w:val="center"/>
        <w:outlineLvl w:val="9"/>
        <w:rPr>
          <w:rFonts w:hint="eastAsia" w:ascii="黑体" w:hAnsi="黑体" w:eastAsia="黑体" w:cs="黑体"/>
          <w:b/>
          <w:bCs/>
        </w:rPr>
      </w:pPr>
      <w:r>
        <w:rPr>
          <w:rFonts w:hint="eastAsia" w:ascii="黑体" w:hAnsi="黑体" w:eastAsia="黑体" w:cs="黑体"/>
          <w:b/>
          <w:bCs/>
        </w:rPr>
        <w:t>摘</w:t>
      </w:r>
      <w:r>
        <w:rPr>
          <w:rFonts w:hint="eastAsia" w:ascii="黑体" w:hAnsi="黑体" w:eastAsia="黑体" w:cs="黑体"/>
          <w:b/>
          <w:bCs/>
          <w:lang w:val="en-US" w:eastAsia="zh-CN"/>
        </w:rPr>
        <w:t xml:space="preserve">  </w:t>
      </w:r>
      <w:r>
        <w:rPr>
          <w:rFonts w:hint="eastAsia" w:ascii="黑体" w:hAnsi="黑体" w:eastAsia="黑体" w:cs="黑体"/>
          <w:b/>
          <w:bCs/>
        </w:rPr>
        <w:t>要</w:t>
      </w:r>
    </w:p>
    <w:p w14:paraId="0CB82EED">
      <w:pPr>
        <w:pStyle w:val="18"/>
        <w:ind w:firstLine="480" w:firstLineChars="200"/>
        <w:rPr>
          <w:rFonts w:hint="eastAsia" w:ascii="宋体" w:hAnsi="宋体" w:eastAsia="宋体" w:cs="宋体"/>
          <w:sz w:val="24"/>
          <w:szCs w:val="24"/>
        </w:rPr>
      </w:pPr>
      <w:r>
        <w:rPr>
          <w:rFonts w:hint="eastAsia" w:ascii="宋体" w:hAnsi="宋体" w:eastAsia="宋体" w:cs="宋体"/>
          <w:sz w:val="24"/>
          <w:szCs w:val="24"/>
        </w:rPr>
        <w:t>为推进 “AI 赋能社区食品安全共治新生态” 暑期实践项目精准落地，破解社区食品安全监管 “最后一公里” 难题，本团队于 202</w:t>
      </w:r>
      <w:r>
        <w:rPr>
          <w:rFonts w:hint="eastAsia" w:ascii="宋体" w:hAnsi="宋体" w:eastAsia="宋体" w:cs="宋体"/>
          <w:sz w:val="24"/>
          <w:szCs w:val="24"/>
          <w:lang w:val="en-US" w:eastAsia="zh-CN"/>
        </w:rPr>
        <w:t>5</w:t>
      </w:r>
      <w:r>
        <w:rPr>
          <w:rFonts w:hint="eastAsia" w:ascii="宋体" w:hAnsi="宋体" w:eastAsia="宋体" w:cs="宋体"/>
          <w:sz w:val="24"/>
          <w:szCs w:val="24"/>
        </w:rPr>
        <w:t>年暑期针对上海市普陀区开展居民食品安全认知、共治意愿及 AI 工具接受度专项调查。本次调查共发放问卷 230 份，回收有效问卷 211 份（有效回收率 91.74%），结合 SPSS 统计分析，明确居民在食品标签追溯认知、共治参与渠道、AI 工具使用顾虑等方面的核心痛点。调查结果不仅为项目优化 AI 智慧检测小程序功能、制定分层科普方案、构建 “线上 + 线下” 网格共治机制提供数据支撑，更形成 “需求导向 - 技术适配 - 机制保障” 的实践路径，助力实现 “智慧检测 + 科普教育 + 网格共治” 的项目目标。</w:t>
      </w:r>
    </w:p>
    <w:p w14:paraId="025CDA5C">
      <w:pPr>
        <w:pStyle w:val="18"/>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lang w:val="en-US" w:eastAsia="zh-CN"/>
        </w:rPr>
        <w:t>AI工具；食品安全；网格化治理</w:t>
      </w:r>
    </w:p>
    <w:p w14:paraId="019977D9">
      <w:pPr>
        <w:pStyle w:val="18"/>
      </w:pPr>
    </w:p>
    <w:p w14:paraId="3A2DF887">
      <w:pPr>
        <w:pStyle w:val="18"/>
      </w:pPr>
    </w:p>
    <w:p w14:paraId="1EFCB5D9">
      <w:pPr>
        <w:pStyle w:val="18"/>
      </w:pPr>
    </w:p>
    <w:p w14:paraId="4C46F378">
      <w:pPr>
        <w:pStyle w:val="18"/>
        <w:jc w:val="center"/>
        <w:rPr>
          <w:rFonts w:hint="default" w:ascii="Times New Roman" w:hAnsi="Times New Roman" w:cs="Times New Roman"/>
          <w:b/>
          <w:bCs/>
          <w:sz w:val="32"/>
          <w:szCs w:val="32"/>
          <w:lang w:val="en-US" w:eastAsia="zh-CN"/>
        </w:rPr>
      </w:pPr>
    </w:p>
    <w:p w14:paraId="1D03011F">
      <w:pPr>
        <w:pStyle w:val="18"/>
        <w:jc w:val="center"/>
        <w:rPr>
          <w:rFonts w:hint="default" w:ascii="Times New Roman" w:hAnsi="Times New Roman" w:cs="Times New Roman"/>
          <w:b/>
          <w:bCs/>
          <w:sz w:val="32"/>
          <w:szCs w:val="32"/>
          <w:lang w:val="en-US" w:eastAsia="zh-CN"/>
        </w:rPr>
      </w:pPr>
    </w:p>
    <w:p w14:paraId="3ED4201D">
      <w:pPr>
        <w:pStyle w:val="18"/>
        <w:jc w:val="center"/>
        <w:rPr>
          <w:rFonts w:hint="default" w:ascii="Times New Roman" w:hAnsi="Times New Roman" w:cs="Times New Roman"/>
          <w:b/>
          <w:bCs/>
          <w:sz w:val="32"/>
          <w:szCs w:val="32"/>
          <w:lang w:val="en-US" w:eastAsia="zh-CN"/>
        </w:rPr>
      </w:pPr>
    </w:p>
    <w:p w14:paraId="4A900BDD">
      <w:pPr>
        <w:pStyle w:val="18"/>
        <w:jc w:val="center"/>
        <w:rPr>
          <w:rFonts w:hint="default" w:ascii="Times New Roman" w:hAnsi="Times New Roman" w:cs="Times New Roman"/>
          <w:b/>
          <w:bCs/>
          <w:sz w:val="32"/>
          <w:szCs w:val="32"/>
          <w:lang w:val="en-US" w:eastAsia="zh-CN"/>
        </w:rPr>
      </w:pPr>
    </w:p>
    <w:p w14:paraId="3428F7FF">
      <w:pPr>
        <w:pStyle w:val="18"/>
        <w:jc w:val="center"/>
        <w:rPr>
          <w:rFonts w:hint="default" w:ascii="Times New Roman" w:hAnsi="Times New Roman" w:cs="Times New Roman"/>
          <w:b/>
          <w:bCs/>
          <w:sz w:val="32"/>
          <w:szCs w:val="32"/>
          <w:lang w:val="en-US" w:eastAsia="zh-CN"/>
        </w:rPr>
      </w:pPr>
    </w:p>
    <w:p w14:paraId="78BA1D58">
      <w:pPr>
        <w:pStyle w:val="18"/>
        <w:jc w:val="center"/>
        <w:rPr>
          <w:rFonts w:hint="default" w:ascii="Times New Roman" w:hAnsi="Times New Roman" w:cs="Times New Roman"/>
          <w:b/>
          <w:bCs/>
          <w:sz w:val="32"/>
          <w:szCs w:val="32"/>
          <w:lang w:val="en-US" w:eastAsia="zh-CN"/>
        </w:rPr>
      </w:pPr>
    </w:p>
    <w:p w14:paraId="0C2D7820">
      <w:pPr>
        <w:pStyle w:val="18"/>
        <w:jc w:val="center"/>
        <w:rPr>
          <w:rFonts w:hint="default" w:ascii="Times New Roman" w:hAnsi="Times New Roman" w:cs="Times New Roman"/>
          <w:b/>
          <w:bCs/>
          <w:sz w:val="32"/>
          <w:szCs w:val="32"/>
          <w:lang w:val="en-US" w:eastAsia="zh-CN"/>
        </w:rPr>
      </w:pPr>
    </w:p>
    <w:p w14:paraId="31F1083D">
      <w:pPr>
        <w:pStyle w:val="18"/>
        <w:jc w:val="center"/>
        <w:rPr>
          <w:rFonts w:hint="default" w:ascii="Times New Roman" w:hAnsi="Times New Roman" w:cs="Times New Roman"/>
          <w:b/>
          <w:bCs/>
          <w:sz w:val="32"/>
          <w:szCs w:val="32"/>
          <w:lang w:val="en-US" w:eastAsia="zh-CN"/>
        </w:rPr>
      </w:pPr>
    </w:p>
    <w:p w14:paraId="1544F3A9">
      <w:pPr>
        <w:pStyle w:val="18"/>
        <w:jc w:val="center"/>
        <w:rPr>
          <w:rFonts w:hint="default" w:ascii="Times New Roman" w:hAnsi="Times New Roman" w:cs="Times New Roman"/>
          <w:b/>
          <w:bCs/>
          <w:sz w:val="32"/>
          <w:szCs w:val="32"/>
          <w:lang w:val="en-US" w:eastAsia="zh-CN"/>
        </w:rPr>
      </w:pPr>
    </w:p>
    <w:p w14:paraId="158E4DF0">
      <w:pPr>
        <w:pStyle w:val="18"/>
        <w:jc w:val="center"/>
        <w:rPr>
          <w:rFonts w:hint="default" w:ascii="Times New Roman" w:hAnsi="Times New Roman" w:cs="Times New Roman"/>
          <w:b/>
          <w:bCs/>
          <w:sz w:val="32"/>
          <w:szCs w:val="32"/>
          <w:lang w:val="en-US" w:eastAsia="zh-CN"/>
        </w:rPr>
      </w:pPr>
    </w:p>
    <w:p w14:paraId="13D29A05">
      <w:pPr>
        <w:pStyle w:val="18"/>
        <w:jc w:val="center"/>
        <w:rPr>
          <w:rFonts w:hint="default" w:ascii="Times New Roman" w:hAnsi="Times New Roman" w:cs="Times New Roman"/>
          <w:b/>
          <w:bCs/>
          <w:sz w:val="32"/>
          <w:szCs w:val="32"/>
          <w:lang w:val="en-US" w:eastAsia="zh-CN"/>
        </w:rPr>
      </w:pPr>
    </w:p>
    <w:p w14:paraId="7E5D2CE6">
      <w:pPr>
        <w:pStyle w:val="18"/>
        <w:jc w:val="center"/>
        <w:rPr>
          <w:rFonts w:hint="default" w:ascii="Times New Roman" w:hAnsi="Times New Roman" w:cs="Times New Roman"/>
          <w:b/>
          <w:bCs/>
          <w:sz w:val="32"/>
          <w:szCs w:val="32"/>
          <w:lang w:val="en-US" w:eastAsia="zh-CN"/>
        </w:rPr>
      </w:pPr>
    </w:p>
    <w:p w14:paraId="57D0D09D">
      <w:pPr>
        <w:pStyle w:val="18"/>
        <w:jc w:val="center"/>
        <w:rPr>
          <w:rFonts w:hint="default" w:ascii="Times New Roman" w:hAnsi="Times New Roman" w:cs="Times New Roman"/>
          <w:b/>
          <w:bCs/>
          <w:sz w:val="32"/>
          <w:szCs w:val="32"/>
          <w:lang w:val="en-US" w:eastAsia="zh-CN"/>
        </w:rPr>
      </w:pPr>
    </w:p>
    <w:p w14:paraId="7A0D79B9">
      <w:pPr>
        <w:pStyle w:val="18"/>
        <w:jc w:val="center"/>
        <w:rPr>
          <w:rFonts w:hint="default"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"AI Empowering a New Ecosystem for Community Food Safety Co-governance" Research Report</w:t>
      </w:r>
    </w:p>
    <w:p w14:paraId="64D93C35">
      <w:pPr>
        <w:pStyle w:val="18"/>
        <w:jc w:val="center"/>
        <w:rPr>
          <w:rFonts w:hint="default" w:ascii="Times New Roman" w:hAnsi="Times New Roman" w:eastAsia="等线" w:cs="Times New Roman"/>
          <w:b/>
          <w:bCs/>
          <w:sz w:val="32"/>
          <w:szCs w:val="32"/>
          <w:lang w:val="en-US" w:eastAsia="zh-CN"/>
        </w:rPr>
      </w:pPr>
      <w:r>
        <w:rPr>
          <w:rFonts w:hint="default" w:ascii="Times New Roman" w:hAnsi="Times New Roman" w:cs="Times New Roman"/>
          <w:b/>
          <w:bCs/>
          <w:sz w:val="32"/>
          <w:szCs w:val="32"/>
          <w:lang w:val="en-US" w:eastAsia="zh-CN"/>
        </w:rPr>
        <w:t>Abstract</w:t>
      </w:r>
    </w:p>
    <w:p w14:paraId="3C3E168F">
      <w:pPr>
        <w:pStyle w:val="18"/>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promote the precise implementation of the "AI Empowering Community Food Safety Co-governance New Ecology" summer practice project and solve the problem of the "last mile" in community food safety supervision, our team conducted a special survey on residents' food safety awareness, co-governance willingness, and acceptance of AI tools in  CaoYang New Village Street and ChangFeng New Village Street of Putuo District, Shanghai during the summer of 2025. A total of 230 questionnaires were distributed, and 211 valid questionnaires were retrieved (valid recovery rate of 91.74%). Combined with SPSS statistical analysis, the core pain points of residents in terms of food label traceability awareness, co-governance participation channels, and concerns about the use of AI tools were identified. The survey results not only provided data support for optimizing the functions of the AI smart detection mini-program, formulating stratified science popularization plans, and building an "online + offline" grid co-governance mechanism for the project, but also formed a practical path of "demand orientation - technology adaptation - mechanism guarantee", helping to achieve the project goal of "smart detection + science popularization education + grid co-governance".</w:t>
      </w:r>
    </w:p>
    <w:p w14:paraId="37882928">
      <w:pPr>
        <w:pStyle w:val="18"/>
        <w:ind w:firstLine="560" w:firstLineChars="200"/>
        <w:rPr>
          <w:rFonts w:hint="default" w:ascii="Times New Roman" w:hAnsi="Times New Roman" w:cs="Times New Roman"/>
          <w:sz w:val="24"/>
          <w:szCs w:val="24"/>
        </w:rPr>
      </w:pPr>
      <w:r>
        <w:rPr>
          <w:rFonts w:hint="default" w:ascii="Times New Roman" w:hAnsi="Times New Roman" w:cs="Times New Roman"/>
          <w:b/>
          <w:bCs/>
          <w:sz w:val="28"/>
          <w:szCs w:val="28"/>
        </w:rPr>
        <w:t>Keywords:</w:t>
      </w:r>
      <w:r>
        <w:rPr>
          <w:rFonts w:hint="default" w:ascii="Times New Roman" w:hAnsi="Times New Roman" w:cs="Times New Roman"/>
          <w:sz w:val="24"/>
          <w:szCs w:val="24"/>
        </w:rPr>
        <w:t xml:space="preserve"> AI tools; Food safety; Grid-based governance</w:t>
      </w:r>
    </w:p>
    <w:p w14:paraId="2B576B2F">
      <w:pPr>
        <w:pStyle w:val="18"/>
      </w:pPr>
    </w:p>
    <w:p w14:paraId="35F161DB">
      <w:pPr>
        <w:pStyle w:val="18"/>
      </w:pPr>
    </w:p>
    <w:p w14:paraId="284BACC6">
      <w:pPr>
        <w:pStyle w:val="18"/>
      </w:pPr>
    </w:p>
    <w:p w14:paraId="50BEFB93">
      <w:pPr>
        <w:pStyle w:val="18"/>
      </w:pPr>
    </w:p>
    <w:p w14:paraId="474B9522">
      <w:pPr>
        <w:pStyle w:val="18"/>
      </w:pPr>
    </w:p>
    <w:p w14:paraId="4BF918BD">
      <w:pPr>
        <w:pStyle w:val="18"/>
      </w:pPr>
    </w:p>
    <w:p w14:paraId="6323DADD">
      <w:pPr>
        <w:pStyle w:val="18"/>
      </w:pPr>
    </w:p>
    <w:p w14:paraId="456549B7">
      <w:pPr>
        <w:pStyle w:val="18"/>
      </w:pPr>
    </w:p>
    <w:p w14:paraId="34330F2A">
      <w:pPr>
        <w:pStyle w:val="18"/>
      </w:pPr>
    </w:p>
    <w:p w14:paraId="0BDACFFC">
      <w:pPr>
        <w:pStyle w:val="18"/>
      </w:pPr>
    </w:p>
    <w:p w14:paraId="534841AE">
      <w:pPr>
        <w:pStyle w:val="18"/>
      </w:pPr>
    </w:p>
    <w:p w14:paraId="58107FBF">
      <w:pPr>
        <w:pStyle w:val="18"/>
      </w:pPr>
    </w:p>
    <w:p w14:paraId="58A48741">
      <w:pPr>
        <w:pStyle w:val="18"/>
      </w:pPr>
    </w:p>
    <w:p w14:paraId="13CE947B">
      <w:pPr>
        <w:pStyle w:val="18"/>
      </w:pPr>
    </w:p>
    <w:p w14:paraId="5228AC3E">
      <w:pPr>
        <w:pStyle w:val="18"/>
      </w:pPr>
    </w:p>
    <w:p w14:paraId="7E0E18BB">
      <w:pPr>
        <w:pStyle w:val="18"/>
      </w:pPr>
    </w:p>
    <w:sdt>
      <w:sdtPr>
        <w:rPr>
          <w:rFonts w:ascii="宋体" w:hAnsi="宋体" w:eastAsia="宋体" w:cstheme="minorBidi"/>
          <w:sz w:val="21"/>
          <w:szCs w:val="22"/>
        </w:rPr>
        <w:id w:val="147453519"/>
        <w15:color w:val="DBDBDB"/>
        <w:docPartObj>
          <w:docPartGallery w:val="Table of Contents"/>
          <w:docPartUnique/>
        </w:docPartObj>
      </w:sdtPr>
      <w:sdtEndPr>
        <w:rPr>
          <w:rFonts w:ascii="宋体" w:hAnsi="宋体" w:eastAsia="宋体" w:cstheme="minorBidi"/>
          <w:sz w:val="21"/>
          <w:szCs w:val="22"/>
        </w:rPr>
      </w:sdtEndPr>
      <w:sdtContent>
        <w:p w14:paraId="2EE7D37F">
          <w:pPr>
            <w:spacing w:before="0" w:beforeLines="0" w:after="0" w:afterLines="0" w:line="240" w:lineRule="auto"/>
            <w:ind w:left="0" w:leftChars="0" w:right="0" w:rightChars="0" w:firstLine="0" w:firstLineChars="0"/>
            <w:jc w:val="center"/>
            <w:rPr>
              <w:rFonts w:hint="default" w:ascii="宋体" w:hAnsi="宋体" w:eastAsia="宋体"/>
              <w:sz w:val="21"/>
              <w:lang w:val="en-US" w:eastAsia="zh-CN"/>
            </w:rPr>
          </w:pPr>
          <w:r>
            <w:rPr>
              <w:rFonts w:ascii="宋体" w:hAnsi="宋体" w:eastAsia="宋体"/>
              <w:sz w:val="21"/>
            </w:rPr>
            <w:t>目录</w:t>
          </w:r>
        </w:p>
        <w:p w14:paraId="055A09DA">
          <w:pPr>
            <w:pStyle w:val="8"/>
            <w:tabs>
              <w:tab w:val="right" w:leader="dot" w:pos="9026"/>
            </w:tabs>
            <w:rPr>
              <w:rFonts w:hint="eastAsia" w:eastAsiaTheme="minorEastAsia"/>
              <w:lang w:val="en-US" w:eastAsia="zh-CN"/>
            </w:rPr>
          </w:pPr>
          <w:r>
            <w:fldChar w:fldCharType="begin"/>
          </w:r>
          <w:r>
            <w:instrText xml:space="preserve">TOC \o "1-2" \h \u </w:instrText>
          </w:r>
          <w:r>
            <w:fldChar w:fldCharType="separate"/>
          </w:r>
          <w:r>
            <w:fldChar w:fldCharType="begin"/>
          </w:r>
          <w:r>
            <w:instrText xml:space="preserve"> HYPERLINK \l _Toc2715 </w:instrText>
          </w:r>
          <w:r>
            <w:fldChar w:fldCharType="separate"/>
          </w:r>
          <w:r>
            <w:rPr>
              <w:rFonts w:hint="eastAsia"/>
              <w:lang w:val="en-US" w:eastAsia="zh-CN"/>
            </w:rPr>
            <w:t>一</w:t>
          </w:r>
          <w:r>
            <w:rPr>
              <w:rFonts w:hint="eastAsia" w:ascii="黑体" w:hAnsi="黑体" w:eastAsia="黑体" w:cs="黑体"/>
              <w:szCs w:val="36"/>
            </w:rPr>
            <w:t>、</w:t>
          </w:r>
          <w:r>
            <w:rPr>
              <w:rFonts w:hint="eastAsia" w:ascii="黑体" w:hAnsi="黑体" w:eastAsia="黑体" w:cs="黑体"/>
              <w:szCs w:val="36"/>
              <w:lang w:val="en-US" w:eastAsia="zh-CN"/>
            </w:rPr>
            <w:t>摘要</w:t>
          </w:r>
          <w:r>
            <w:tab/>
          </w:r>
          <w:r>
            <w:fldChar w:fldCharType="end"/>
          </w:r>
          <w:r>
            <w:rPr>
              <w:rFonts w:hint="eastAsia"/>
              <w:lang w:val="en-US" w:eastAsia="zh-CN"/>
            </w:rPr>
            <w:t>1</w:t>
          </w:r>
        </w:p>
        <w:p w14:paraId="364F00FA">
          <w:pPr>
            <w:pStyle w:val="8"/>
            <w:tabs>
              <w:tab w:val="right" w:leader="dot" w:pos="9026"/>
            </w:tabs>
          </w:pPr>
          <w:r>
            <w:fldChar w:fldCharType="begin"/>
          </w:r>
          <w:r>
            <w:instrText xml:space="preserve"> HYPERLINK \l _Toc23572 </w:instrText>
          </w:r>
          <w:r>
            <w:fldChar w:fldCharType="separate"/>
          </w:r>
          <w:r>
            <w:rPr>
              <w:rFonts w:hint="eastAsia"/>
              <w:lang w:val="en-US" w:eastAsia="zh-CN"/>
            </w:rPr>
            <w:t>二</w:t>
          </w:r>
          <w:bookmarkStart w:id="26" w:name="_GoBack"/>
          <w:bookmarkEnd w:id="26"/>
          <w:r>
            <w:rPr>
              <w:rFonts w:hint="eastAsia" w:ascii="黑体" w:hAnsi="黑体" w:eastAsia="黑体" w:cs="黑体"/>
              <w:szCs w:val="36"/>
            </w:rPr>
            <w:t>、</w:t>
          </w:r>
          <w:r>
            <w:rPr>
              <w:rFonts w:hint="eastAsia" w:ascii="黑体" w:hAnsi="黑体" w:eastAsia="黑体" w:cs="黑体"/>
              <w:szCs w:val="36"/>
              <w:lang w:val="en-US" w:eastAsia="zh-CN"/>
            </w:rPr>
            <w:t>引言</w:t>
          </w:r>
          <w:r>
            <w:tab/>
          </w:r>
          <w:r>
            <w:rPr>
              <w:rFonts w:hint="eastAsia"/>
              <w:lang w:val="en-US" w:eastAsia="zh-CN"/>
            </w:rPr>
            <w:t>4</w:t>
          </w:r>
          <w:r>
            <w:fldChar w:fldCharType="end"/>
          </w:r>
        </w:p>
        <w:p w14:paraId="30EED388">
          <w:pPr>
            <w:pStyle w:val="10"/>
            <w:tabs>
              <w:tab w:val="right" w:leader="dot" w:pos="9026"/>
            </w:tabs>
          </w:pPr>
          <w:r>
            <w:fldChar w:fldCharType="begin"/>
          </w:r>
          <w:r>
            <w:instrText xml:space="preserve"> HYPERLINK \l _Toc15929 </w:instrText>
          </w:r>
          <w:r>
            <w:fldChar w:fldCharType="separate"/>
          </w:r>
          <w:r>
            <w:rPr>
              <w:rFonts w:hint="eastAsia" w:ascii="黑体" w:hAnsi="黑体" w:eastAsia="黑体" w:cs="黑体"/>
            </w:rPr>
            <w:t>2.1 调查背景</w:t>
          </w:r>
          <w:r>
            <w:tab/>
          </w:r>
          <w:r>
            <w:fldChar w:fldCharType="begin"/>
          </w:r>
          <w:r>
            <w:instrText xml:space="preserve"> PAGEREF _Toc15929 \h </w:instrText>
          </w:r>
          <w:r>
            <w:fldChar w:fldCharType="separate"/>
          </w:r>
          <w:r>
            <w:t>4</w:t>
          </w:r>
          <w:r>
            <w:fldChar w:fldCharType="end"/>
          </w:r>
          <w:r>
            <w:fldChar w:fldCharType="end"/>
          </w:r>
        </w:p>
        <w:p w14:paraId="09A05955">
          <w:pPr>
            <w:pStyle w:val="8"/>
            <w:tabs>
              <w:tab w:val="right" w:leader="dot" w:pos="9026"/>
            </w:tabs>
            <w:ind w:firstLine="420" w:firstLineChars="200"/>
          </w:pPr>
          <w:r>
            <w:fldChar w:fldCharType="begin"/>
          </w:r>
          <w:r>
            <w:instrText xml:space="preserve"> HYPERLINK \l _Toc25779 </w:instrText>
          </w:r>
          <w:r>
            <w:fldChar w:fldCharType="separate"/>
          </w:r>
          <w:r>
            <w:rPr>
              <w:rFonts w:hint="eastAsia" w:ascii="黑体" w:hAnsi="黑体" w:eastAsia="黑体" w:cs="黑体"/>
              <w:szCs w:val="30"/>
            </w:rPr>
            <w:t>2.</w:t>
          </w:r>
          <w:r>
            <w:rPr>
              <w:rFonts w:hint="eastAsia" w:ascii="黑体" w:hAnsi="黑体" w:eastAsia="黑体" w:cs="黑体"/>
              <w:szCs w:val="30"/>
              <w:lang w:val="en-US" w:eastAsia="zh-CN"/>
            </w:rPr>
            <w:t>2</w:t>
          </w:r>
          <w:r>
            <w:rPr>
              <w:rFonts w:hint="eastAsia" w:ascii="黑体" w:hAnsi="黑体" w:eastAsia="黑体" w:cs="黑体"/>
              <w:szCs w:val="30"/>
            </w:rPr>
            <w:t xml:space="preserve"> </w:t>
          </w:r>
          <w:r>
            <w:rPr>
              <w:rFonts w:hint="eastAsia" w:ascii="黑体" w:hAnsi="黑体" w:eastAsia="黑体" w:cs="黑体"/>
              <w:szCs w:val="30"/>
              <w:lang w:val="en-US" w:eastAsia="zh-CN"/>
            </w:rPr>
            <w:t>文献</w:t>
          </w:r>
          <w:r>
            <w:rPr>
              <w:rFonts w:hint="eastAsia" w:ascii="黑体" w:hAnsi="黑体" w:eastAsia="黑体" w:cs="黑体"/>
              <w:szCs w:val="30"/>
            </w:rPr>
            <w:t>调查</w:t>
          </w:r>
          <w:r>
            <w:tab/>
          </w:r>
          <w:r>
            <w:fldChar w:fldCharType="begin"/>
          </w:r>
          <w:r>
            <w:instrText xml:space="preserve"> PAGEREF _Toc25779 \h </w:instrText>
          </w:r>
          <w:r>
            <w:fldChar w:fldCharType="separate"/>
          </w:r>
          <w:r>
            <w:t>4</w:t>
          </w:r>
          <w:r>
            <w:fldChar w:fldCharType="end"/>
          </w:r>
          <w:r>
            <w:fldChar w:fldCharType="end"/>
          </w:r>
        </w:p>
        <w:p w14:paraId="2DC64CBE">
          <w:pPr>
            <w:pStyle w:val="8"/>
            <w:tabs>
              <w:tab w:val="right" w:leader="dot" w:pos="9026"/>
            </w:tabs>
            <w:ind w:firstLine="420" w:firstLineChars="200"/>
          </w:pPr>
          <w:r>
            <w:fldChar w:fldCharType="begin"/>
          </w:r>
          <w:r>
            <w:instrText xml:space="preserve"> HYPERLINK \l _Toc28083 </w:instrText>
          </w:r>
          <w:r>
            <w:fldChar w:fldCharType="separate"/>
          </w:r>
          <w:r>
            <w:rPr>
              <w:rFonts w:hint="eastAsia" w:ascii="黑体" w:hAnsi="黑体" w:eastAsia="黑体" w:cs="黑体"/>
              <w:szCs w:val="30"/>
            </w:rPr>
            <w:t>2.</w:t>
          </w:r>
          <w:r>
            <w:rPr>
              <w:rFonts w:hint="eastAsia" w:ascii="黑体" w:hAnsi="黑体" w:eastAsia="黑体" w:cs="黑体"/>
              <w:szCs w:val="30"/>
              <w:lang w:val="en-US" w:eastAsia="zh-CN"/>
            </w:rPr>
            <w:t>3</w:t>
          </w:r>
          <w:r>
            <w:rPr>
              <w:rFonts w:hint="eastAsia" w:ascii="黑体" w:hAnsi="黑体" w:eastAsia="黑体" w:cs="黑体"/>
              <w:szCs w:val="30"/>
            </w:rPr>
            <w:t xml:space="preserve"> 调查目的</w:t>
          </w:r>
          <w:r>
            <w:tab/>
          </w:r>
          <w:r>
            <w:fldChar w:fldCharType="begin"/>
          </w:r>
          <w:r>
            <w:instrText xml:space="preserve"> PAGEREF _Toc28083 \h </w:instrText>
          </w:r>
          <w:r>
            <w:fldChar w:fldCharType="separate"/>
          </w:r>
          <w:r>
            <w:t>5</w:t>
          </w:r>
          <w:r>
            <w:fldChar w:fldCharType="end"/>
          </w:r>
          <w:r>
            <w:fldChar w:fldCharType="end"/>
          </w:r>
        </w:p>
        <w:p w14:paraId="6FD8D276">
          <w:pPr>
            <w:pStyle w:val="8"/>
            <w:tabs>
              <w:tab w:val="right" w:leader="dot" w:pos="9026"/>
            </w:tabs>
          </w:pPr>
          <w:r>
            <w:fldChar w:fldCharType="begin"/>
          </w:r>
          <w:r>
            <w:instrText xml:space="preserve"> HYPERLINK \l _Toc23572 </w:instrText>
          </w:r>
          <w:r>
            <w:fldChar w:fldCharType="separate"/>
          </w:r>
          <w:r>
            <w:rPr>
              <w:rFonts w:hint="eastAsia" w:ascii="黑体" w:hAnsi="黑体" w:eastAsia="黑体" w:cs="黑体"/>
              <w:szCs w:val="36"/>
            </w:rPr>
            <w:t>三、调查对象与方法</w:t>
          </w:r>
          <w:r>
            <w:tab/>
          </w:r>
          <w:r>
            <w:fldChar w:fldCharType="begin"/>
          </w:r>
          <w:r>
            <w:instrText xml:space="preserve"> PAGEREF _Toc23572 \h </w:instrText>
          </w:r>
          <w:r>
            <w:fldChar w:fldCharType="separate"/>
          </w:r>
          <w:r>
            <w:t>5</w:t>
          </w:r>
          <w:r>
            <w:fldChar w:fldCharType="end"/>
          </w:r>
          <w:r>
            <w:fldChar w:fldCharType="end"/>
          </w:r>
        </w:p>
        <w:p w14:paraId="7EF8C959">
          <w:pPr>
            <w:pStyle w:val="8"/>
            <w:tabs>
              <w:tab w:val="right" w:leader="dot" w:pos="9026"/>
            </w:tabs>
            <w:ind w:firstLine="420" w:firstLineChars="200"/>
          </w:pPr>
          <w:r>
            <w:fldChar w:fldCharType="begin"/>
          </w:r>
          <w:r>
            <w:instrText xml:space="preserve"> HYPERLINK \l _Toc14530 </w:instrText>
          </w:r>
          <w:r>
            <w:fldChar w:fldCharType="separate"/>
          </w:r>
          <w:r>
            <w:rPr>
              <w:rFonts w:hint="eastAsia" w:ascii="黑体" w:hAnsi="黑体" w:eastAsia="黑体" w:cs="黑体"/>
              <w:szCs w:val="30"/>
              <w:lang w:val="en-US" w:eastAsia="zh-CN"/>
            </w:rPr>
            <w:t xml:space="preserve">3.1 </w:t>
          </w:r>
          <w:r>
            <w:rPr>
              <w:rFonts w:hint="eastAsia" w:ascii="黑体" w:hAnsi="黑体" w:eastAsia="黑体" w:cs="黑体"/>
              <w:szCs w:val="30"/>
            </w:rPr>
            <w:t>调查对象</w:t>
          </w:r>
          <w:r>
            <w:tab/>
          </w:r>
          <w:r>
            <w:fldChar w:fldCharType="begin"/>
          </w:r>
          <w:r>
            <w:instrText xml:space="preserve"> PAGEREF _Toc14530 \h </w:instrText>
          </w:r>
          <w:r>
            <w:fldChar w:fldCharType="separate"/>
          </w:r>
          <w:r>
            <w:t>5</w:t>
          </w:r>
          <w:r>
            <w:fldChar w:fldCharType="end"/>
          </w:r>
          <w:r>
            <w:fldChar w:fldCharType="end"/>
          </w:r>
        </w:p>
        <w:p w14:paraId="71DF7591">
          <w:pPr>
            <w:pStyle w:val="8"/>
            <w:tabs>
              <w:tab w:val="right" w:leader="dot" w:pos="9026"/>
            </w:tabs>
            <w:ind w:firstLine="420" w:firstLineChars="200"/>
          </w:pPr>
          <w:r>
            <w:fldChar w:fldCharType="begin"/>
          </w:r>
          <w:r>
            <w:instrText xml:space="preserve"> HYPERLINK \l _Toc8056 </w:instrText>
          </w:r>
          <w:r>
            <w:fldChar w:fldCharType="separate"/>
          </w:r>
          <w:r>
            <w:rPr>
              <w:rFonts w:hint="eastAsia" w:ascii="黑体" w:hAnsi="黑体" w:eastAsia="黑体" w:cs="黑体"/>
              <w:szCs w:val="30"/>
              <w:lang w:val="en-US" w:eastAsia="zh-CN"/>
            </w:rPr>
            <w:t xml:space="preserve">3.2 </w:t>
          </w:r>
          <w:r>
            <w:rPr>
              <w:rFonts w:hint="eastAsia" w:ascii="黑体" w:hAnsi="黑体" w:eastAsia="黑体" w:cs="黑体"/>
              <w:szCs w:val="30"/>
            </w:rPr>
            <w:t>调查方法</w:t>
          </w:r>
          <w:r>
            <w:tab/>
          </w:r>
          <w:r>
            <w:fldChar w:fldCharType="begin"/>
          </w:r>
          <w:r>
            <w:instrText xml:space="preserve"> PAGEREF _Toc8056 \h </w:instrText>
          </w:r>
          <w:r>
            <w:fldChar w:fldCharType="separate"/>
          </w:r>
          <w:r>
            <w:t>6</w:t>
          </w:r>
          <w:r>
            <w:fldChar w:fldCharType="end"/>
          </w:r>
          <w:r>
            <w:fldChar w:fldCharType="end"/>
          </w:r>
        </w:p>
        <w:p w14:paraId="75506D5D">
          <w:pPr>
            <w:pStyle w:val="8"/>
            <w:tabs>
              <w:tab w:val="right" w:leader="dot" w:pos="9026"/>
            </w:tabs>
          </w:pPr>
          <w:r>
            <w:fldChar w:fldCharType="begin"/>
          </w:r>
          <w:r>
            <w:instrText xml:space="preserve"> HYPERLINK \l _Toc22656 </w:instrText>
          </w:r>
          <w:r>
            <w:fldChar w:fldCharType="separate"/>
          </w:r>
          <w:r>
            <w:rPr>
              <w:rFonts w:hint="eastAsia" w:ascii="黑体" w:hAnsi="黑体" w:eastAsia="黑体" w:cs="黑体"/>
              <w:szCs w:val="36"/>
            </w:rPr>
            <w:t>四、调查结果与分析</w:t>
          </w:r>
          <w:r>
            <w:tab/>
          </w:r>
          <w:r>
            <w:fldChar w:fldCharType="begin"/>
          </w:r>
          <w:r>
            <w:instrText xml:space="preserve"> PAGEREF _Toc22656 \h </w:instrText>
          </w:r>
          <w:r>
            <w:fldChar w:fldCharType="separate"/>
          </w:r>
          <w:r>
            <w:t>6</w:t>
          </w:r>
          <w:r>
            <w:fldChar w:fldCharType="end"/>
          </w:r>
          <w:r>
            <w:fldChar w:fldCharType="end"/>
          </w:r>
        </w:p>
        <w:p w14:paraId="035A0847">
          <w:pPr>
            <w:pStyle w:val="8"/>
            <w:tabs>
              <w:tab w:val="right" w:leader="dot" w:pos="9026"/>
            </w:tabs>
            <w:ind w:firstLine="420" w:firstLineChars="200"/>
          </w:pPr>
          <w:r>
            <w:fldChar w:fldCharType="begin"/>
          </w:r>
          <w:r>
            <w:instrText xml:space="preserve"> HYPERLINK \l _Toc31644 </w:instrText>
          </w:r>
          <w:r>
            <w:fldChar w:fldCharType="separate"/>
          </w:r>
          <w:r>
            <w:rPr>
              <w:rFonts w:hint="eastAsia" w:ascii="黑体" w:hAnsi="黑体" w:eastAsia="黑体" w:cs="黑体"/>
              <w:szCs w:val="30"/>
              <w:lang w:val="en-US" w:eastAsia="zh-CN"/>
            </w:rPr>
            <w:t xml:space="preserve">4.1 </w:t>
          </w:r>
          <w:r>
            <w:rPr>
              <w:rFonts w:hint="eastAsia" w:ascii="黑体" w:hAnsi="黑体" w:eastAsia="黑体" w:cs="黑体"/>
              <w:szCs w:val="30"/>
            </w:rPr>
            <w:t>样本基本特征</w:t>
          </w:r>
          <w:r>
            <w:tab/>
          </w:r>
          <w:r>
            <w:fldChar w:fldCharType="begin"/>
          </w:r>
          <w:r>
            <w:instrText xml:space="preserve"> PAGEREF _Toc31644 \h </w:instrText>
          </w:r>
          <w:r>
            <w:fldChar w:fldCharType="separate"/>
          </w:r>
          <w:r>
            <w:t>6</w:t>
          </w:r>
          <w:r>
            <w:fldChar w:fldCharType="end"/>
          </w:r>
          <w:r>
            <w:fldChar w:fldCharType="end"/>
          </w:r>
        </w:p>
        <w:p w14:paraId="13201224">
          <w:pPr>
            <w:pStyle w:val="10"/>
            <w:tabs>
              <w:tab w:val="right" w:leader="dot" w:pos="9026"/>
            </w:tabs>
          </w:pPr>
          <w:r>
            <w:fldChar w:fldCharType="begin"/>
          </w:r>
          <w:r>
            <w:instrText xml:space="preserve"> HYPERLINK \l _Toc9887 </w:instrText>
          </w:r>
          <w:r>
            <w:fldChar w:fldCharType="separate"/>
          </w:r>
          <w:r>
            <w:rPr>
              <w:rFonts w:hint="eastAsia" w:ascii="黑体" w:hAnsi="黑体" w:eastAsia="黑体" w:cs="黑体"/>
              <w:bCs/>
              <w:szCs w:val="30"/>
              <w:lang w:val="en-US" w:eastAsia="zh-CN"/>
            </w:rPr>
            <w:t>4.2 社区居民食品安全认知与问题处理现状</w:t>
          </w:r>
          <w:r>
            <w:tab/>
          </w:r>
          <w:r>
            <w:fldChar w:fldCharType="begin"/>
          </w:r>
          <w:r>
            <w:instrText xml:space="preserve"> PAGEREF _Toc9887 \h </w:instrText>
          </w:r>
          <w:r>
            <w:fldChar w:fldCharType="separate"/>
          </w:r>
          <w:r>
            <w:t>7</w:t>
          </w:r>
          <w:r>
            <w:fldChar w:fldCharType="end"/>
          </w:r>
          <w:r>
            <w:fldChar w:fldCharType="end"/>
          </w:r>
        </w:p>
        <w:p w14:paraId="2B003B12">
          <w:pPr>
            <w:pStyle w:val="10"/>
            <w:tabs>
              <w:tab w:val="right" w:leader="dot" w:pos="9026"/>
            </w:tabs>
            <w:ind w:firstLine="420" w:firstLineChars="200"/>
          </w:pPr>
          <w:r>
            <w:fldChar w:fldCharType="begin"/>
          </w:r>
          <w:r>
            <w:instrText xml:space="preserve"> HYPERLINK \l _Toc11202 </w:instrText>
          </w:r>
          <w:r>
            <w:fldChar w:fldCharType="separate"/>
          </w:r>
          <w:r>
            <w:rPr>
              <w:rFonts w:hint="eastAsia" w:ascii="黑体" w:hAnsi="黑体" w:eastAsia="黑体" w:cs="黑体"/>
              <w:bCs/>
              <w:szCs w:val="30"/>
              <w:lang w:val="en-US" w:eastAsia="zh-CN"/>
            </w:rPr>
            <w:t>4.2.1食品标签认知水平维度</w:t>
          </w:r>
          <w:r>
            <w:tab/>
          </w:r>
          <w:r>
            <w:fldChar w:fldCharType="begin"/>
          </w:r>
          <w:r>
            <w:instrText xml:space="preserve"> PAGEREF _Toc11202 \h </w:instrText>
          </w:r>
          <w:r>
            <w:fldChar w:fldCharType="separate"/>
          </w:r>
          <w:r>
            <w:t>7</w:t>
          </w:r>
          <w:r>
            <w:fldChar w:fldCharType="end"/>
          </w:r>
          <w:r>
            <w:fldChar w:fldCharType="end"/>
          </w:r>
        </w:p>
        <w:p w14:paraId="6F9528F3">
          <w:pPr>
            <w:pStyle w:val="10"/>
            <w:tabs>
              <w:tab w:val="right" w:leader="dot" w:pos="9026"/>
            </w:tabs>
            <w:ind w:firstLine="420" w:firstLineChars="200"/>
          </w:pPr>
          <w:r>
            <w:fldChar w:fldCharType="begin"/>
          </w:r>
          <w:r>
            <w:instrText xml:space="preserve"> HYPERLINK \l _Toc71 </w:instrText>
          </w:r>
          <w:r>
            <w:fldChar w:fldCharType="separate"/>
          </w:r>
          <w:r>
            <w:rPr>
              <w:rFonts w:hint="eastAsia" w:ascii="黑体" w:hAnsi="黑体" w:eastAsia="黑体" w:cs="黑体"/>
              <w:bCs/>
              <w:szCs w:val="30"/>
              <w:lang w:val="en-US" w:eastAsia="zh-CN"/>
            </w:rPr>
            <w:t>4.2.2食品购买优先关注维度</w:t>
          </w:r>
          <w:r>
            <w:tab/>
          </w:r>
          <w:r>
            <w:fldChar w:fldCharType="begin"/>
          </w:r>
          <w:r>
            <w:instrText xml:space="preserve"> PAGEREF _Toc71 \h </w:instrText>
          </w:r>
          <w:r>
            <w:fldChar w:fldCharType="separate"/>
          </w:r>
          <w:r>
            <w:t>8</w:t>
          </w:r>
          <w:r>
            <w:fldChar w:fldCharType="end"/>
          </w:r>
          <w:r>
            <w:fldChar w:fldCharType="end"/>
          </w:r>
        </w:p>
        <w:p w14:paraId="27B6CB8C">
          <w:pPr>
            <w:pStyle w:val="10"/>
            <w:tabs>
              <w:tab w:val="right" w:leader="dot" w:pos="9026"/>
            </w:tabs>
            <w:ind w:firstLine="420" w:firstLineChars="200"/>
          </w:pPr>
          <w:r>
            <w:fldChar w:fldCharType="begin"/>
          </w:r>
          <w:r>
            <w:instrText xml:space="preserve"> HYPERLINK \l _Toc13210 </w:instrText>
          </w:r>
          <w:r>
            <w:fldChar w:fldCharType="separate"/>
          </w:r>
          <w:r>
            <w:rPr>
              <w:rFonts w:hint="eastAsia" w:ascii="黑体" w:hAnsi="黑体" w:eastAsia="黑体" w:cs="黑体"/>
              <w:bCs/>
              <w:szCs w:val="30"/>
              <w:lang w:val="en-US" w:eastAsia="zh-CN"/>
            </w:rPr>
            <w:t>4.2.3食品安全问题经历与处理</w:t>
          </w:r>
          <w:r>
            <w:tab/>
          </w:r>
          <w:r>
            <w:fldChar w:fldCharType="begin"/>
          </w:r>
          <w:r>
            <w:instrText xml:space="preserve"> PAGEREF _Toc13210 \h </w:instrText>
          </w:r>
          <w:r>
            <w:fldChar w:fldCharType="separate"/>
          </w:r>
          <w:r>
            <w:t>8</w:t>
          </w:r>
          <w:r>
            <w:fldChar w:fldCharType="end"/>
          </w:r>
          <w:r>
            <w:fldChar w:fldCharType="end"/>
          </w:r>
        </w:p>
        <w:p w14:paraId="279183A1">
          <w:pPr>
            <w:pStyle w:val="10"/>
            <w:tabs>
              <w:tab w:val="right" w:leader="dot" w:pos="9026"/>
            </w:tabs>
            <w:ind w:firstLine="420" w:firstLineChars="200"/>
          </w:pPr>
          <w:r>
            <w:fldChar w:fldCharType="begin"/>
          </w:r>
          <w:r>
            <w:instrText xml:space="preserve"> HYPERLINK \l _Toc12524 </w:instrText>
          </w:r>
          <w:r>
            <w:fldChar w:fldCharType="separate"/>
          </w:r>
          <w:r>
            <w:rPr>
              <w:rFonts w:hint="eastAsia" w:ascii="黑体" w:hAnsi="黑体" w:eastAsia="黑体" w:cs="黑体"/>
              <w:bCs/>
              <w:szCs w:val="30"/>
              <w:lang w:val="en-US" w:eastAsia="zh-CN"/>
            </w:rPr>
            <w:t>4.2.4食品安全监管改进需求</w:t>
          </w:r>
          <w:r>
            <w:tab/>
          </w:r>
          <w:r>
            <w:fldChar w:fldCharType="begin"/>
          </w:r>
          <w:r>
            <w:instrText xml:space="preserve"> PAGEREF _Toc12524 \h </w:instrText>
          </w:r>
          <w:r>
            <w:fldChar w:fldCharType="separate"/>
          </w:r>
          <w:r>
            <w:t>8</w:t>
          </w:r>
          <w:r>
            <w:fldChar w:fldCharType="end"/>
          </w:r>
          <w:r>
            <w:fldChar w:fldCharType="end"/>
          </w:r>
        </w:p>
        <w:p w14:paraId="73FA7BED">
          <w:pPr>
            <w:pStyle w:val="10"/>
            <w:tabs>
              <w:tab w:val="right" w:leader="dot" w:pos="9026"/>
            </w:tabs>
          </w:pPr>
          <w:r>
            <w:fldChar w:fldCharType="begin"/>
          </w:r>
          <w:r>
            <w:instrText xml:space="preserve"> HYPERLINK \l _Toc13637 </w:instrText>
          </w:r>
          <w:r>
            <w:fldChar w:fldCharType="separate"/>
          </w:r>
          <w:r>
            <w:rPr>
              <w:rFonts w:hint="eastAsia" w:ascii="宋体" w:hAnsi="宋体" w:eastAsia="宋体" w:cs="宋体"/>
              <w:bCs/>
              <w:szCs w:val="30"/>
              <w:lang w:val="en-US" w:eastAsia="zh-CN"/>
            </w:rPr>
            <w:t xml:space="preserve">4.3 </w:t>
          </w:r>
          <w:r>
            <w:rPr>
              <w:rFonts w:hint="eastAsia" w:ascii="宋体" w:hAnsi="宋体" w:eastAsia="宋体" w:cs="宋体"/>
              <w:bCs/>
              <w:szCs w:val="30"/>
            </w:rPr>
            <w:t>社区居民食品安全共治意愿分析</w:t>
          </w:r>
          <w:r>
            <w:tab/>
          </w:r>
          <w:r>
            <w:fldChar w:fldCharType="begin"/>
          </w:r>
          <w:r>
            <w:instrText xml:space="preserve"> PAGEREF _Toc13637 \h </w:instrText>
          </w:r>
          <w:r>
            <w:fldChar w:fldCharType="separate"/>
          </w:r>
          <w:r>
            <w:t>9</w:t>
          </w:r>
          <w:r>
            <w:fldChar w:fldCharType="end"/>
          </w:r>
          <w:r>
            <w:fldChar w:fldCharType="end"/>
          </w:r>
        </w:p>
        <w:p w14:paraId="07475F7A">
          <w:pPr>
            <w:pStyle w:val="10"/>
            <w:tabs>
              <w:tab w:val="right" w:leader="dot" w:pos="9026"/>
            </w:tabs>
            <w:ind w:firstLine="420" w:firstLineChars="200"/>
          </w:pPr>
          <w:r>
            <w:fldChar w:fldCharType="begin"/>
          </w:r>
          <w:r>
            <w:instrText xml:space="preserve"> HYPERLINK \l _Toc11451 </w:instrText>
          </w:r>
          <w:r>
            <w:fldChar w:fldCharType="separate"/>
          </w:r>
          <w:r>
            <w:rPr>
              <w:rFonts w:hint="eastAsia" w:ascii="黑体" w:hAnsi="黑体" w:eastAsia="黑体" w:cs="黑体"/>
              <w:bCs/>
              <w:szCs w:val="30"/>
              <w:lang w:val="en-US" w:eastAsia="zh-CN"/>
            </w:rPr>
            <w:t>4.3.2 关键交叉分析</w:t>
          </w:r>
          <w:r>
            <w:tab/>
          </w:r>
          <w:r>
            <w:fldChar w:fldCharType="begin"/>
          </w:r>
          <w:r>
            <w:instrText xml:space="preserve"> PAGEREF _Toc11451 \h </w:instrText>
          </w:r>
          <w:r>
            <w:fldChar w:fldCharType="separate"/>
          </w:r>
          <w:r>
            <w:t>9</w:t>
          </w:r>
          <w:r>
            <w:fldChar w:fldCharType="end"/>
          </w:r>
          <w:r>
            <w:fldChar w:fldCharType="end"/>
          </w:r>
        </w:p>
        <w:p w14:paraId="3C1E6CAB">
          <w:pPr>
            <w:pStyle w:val="10"/>
            <w:tabs>
              <w:tab w:val="right" w:leader="dot" w:pos="9026"/>
            </w:tabs>
          </w:pPr>
          <w:r>
            <w:fldChar w:fldCharType="begin"/>
          </w:r>
          <w:r>
            <w:instrText xml:space="preserve"> HYPERLINK \l _Toc3205 </w:instrText>
          </w:r>
          <w:r>
            <w:fldChar w:fldCharType="separate"/>
          </w:r>
          <w:r>
            <w:rPr>
              <w:rFonts w:hint="eastAsia" w:ascii="黑体" w:hAnsi="黑体" w:eastAsia="黑体" w:cs="黑体"/>
              <w:bCs/>
              <w:szCs w:val="30"/>
              <w:lang w:val="en-US" w:eastAsia="zh-CN"/>
            </w:rPr>
            <w:t>4.4  AI 赋能食品安全的认知、使用意愿与功能需求</w:t>
          </w:r>
          <w:r>
            <w:tab/>
          </w:r>
          <w:r>
            <w:fldChar w:fldCharType="begin"/>
          </w:r>
          <w:r>
            <w:instrText xml:space="preserve"> PAGEREF _Toc3205 \h </w:instrText>
          </w:r>
          <w:r>
            <w:fldChar w:fldCharType="separate"/>
          </w:r>
          <w:r>
            <w:t>11</w:t>
          </w:r>
          <w:r>
            <w:fldChar w:fldCharType="end"/>
          </w:r>
          <w:r>
            <w:fldChar w:fldCharType="end"/>
          </w:r>
        </w:p>
        <w:p w14:paraId="79F47E27">
          <w:pPr>
            <w:pStyle w:val="10"/>
            <w:tabs>
              <w:tab w:val="right" w:leader="dot" w:pos="9026"/>
            </w:tabs>
            <w:ind w:firstLine="420" w:firstLineChars="200"/>
          </w:pPr>
          <w:r>
            <w:fldChar w:fldCharType="begin"/>
          </w:r>
          <w:r>
            <w:instrText xml:space="preserve"> HYPERLINK \l _Toc24467 </w:instrText>
          </w:r>
          <w:r>
            <w:fldChar w:fldCharType="separate"/>
          </w:r>
          <w:r>
            <w:rPr>
              <w:rFonts w:hint="eastAsia" w:ascii="黑体" w:hAnsi="黑体" w:eastAsia="黑体" w:cs="黑体"/>
              <w:bCs/>
              <w:szCs w:val="30"/>
              <w:lang w:val="en-US" w:eastAsia="zh-CN"/>
            </w:rPr>
            <w:t>4.4.1 AI 认知水平</w:t>
          </w:r>
          <w:r>
            <w:tab/>
          </w:r>
          <w:r>
            <w:fldChar w:fldCharType="begin"/>
          </w:r>
          <w:r>
            <w:instrText xml:space="preserve"> PAGEREF _Toc24467 \h </w:instrText>
          </w:r>
          <w:r>
            <w:fldChar w:fldCharType="separate"/>
          </w:r>
          <w:r>
            <w:t>11</w:t>
          </w:r>
          <w:r>
            <w:fldChar w:fldCharType="end"/>
          </w:r>
          <w:r>
            <w:fldChar w:fldCharType="end"/>
          </w:r>
        </w:p>
        <w:p w14:paraId="775C9C11">
          <w:pPr>
            <w:pStyle w:val="10"/>
            <w:tabs>
              <w:tab w:val="right" w:leader="dot" w:pos="9026"/>
            </w:tabs>
            <w:ind w:firstLine="420" w:firstLineChars="200"/>
          </w:pPr>
          <w:r>
            <w:fldChar w:fldCharType="begin"/>
          </w:r>
          <w:r>
            <w:instrText xml:space="preserve"> HYPERLINK \l _Toc90 </w:instrText>
          </w:r>
          <w:r>
            <w:fldChar w:fldCharType="separate"/>
          </w:r>
          <w:r>
            <w:rPr>
              <w:rFonts w:hint="eastAsia" w:ascii="黑体" w:hAnsi="黑体" w:eastAsia="黑体" w:cs="黑体"/>
              <w:bCs/>
              <w:szCs w:val="30"/>
              <w:lang w:val="en-US" w:eastAsia="zh-CN"/>
            </w:rPr>
            <w:t>4.4.2  AI 工具使用意愿</w:t>
          </w:r>
          <w:r>
            <w:tab/>
          </w:r>
          <w:r>
            <w:fldChar w:fldCharType="begin"/>
          </w:r>
          <w:r>
            <w:instrText xml:space="preserve"> PAGEREF _Toc90 \h </w:instrText>
          </w:r>
          <w:r>
            <w:fldChar w:fldCharType="separate"/>
          </w:r>
          <w:r>
            <w:t>12</w:t>
          </w:r>
          <w:r>
            <w:fldChar w:fldCharType="end"/>
          </w:r>
          <w:r>
            <w:fldChar w:fldCharType="end"/>
          </w:r>
        </w:p>
        <w:p w14:paraId="4B8E59F6">
          <w:pPr>
            <w:pStyle w:val="10"/>
            <w:tabs>
              <w:tab w:val="right" w:leader="dot" w:pos="9026"/>
            </w:tabs>
            <w:ind w:firstLine="420" w:firstLineChars="200"/>
          </w:pPr>
          <w:r>
            <w:fldChar w:fldCharType="begin"/>
          </w:r>
          <w:r>
            <w:instrText xml:space="preserve"> HYPERLINK \l _Toc15523 </w:instrText>
          </w:r>
          <w:r>
            <w:fldChar w:fldCharType="separate"/>
          </w:r>
          <w:r>
            <w:rPr>
              <w:rFonts w:hint="eastAsia" w:ascii="黑体" w:hAnsi="黑体" w:eastAsia="黑体" w:cs="黑体"/>
              <w:bCs/>
              <w:szCs w:val="30"/>
              <w:lang w:val="en-US" w:eastAsia="zh-CN"/>
            </w:rPr>
            <w:t>4.4.3 不愿使用 AI 工具的核心顾虑</w:t>
          </w:r>
          <w:r>
            <w:tab/>
          </w:r>
          <w:r>
            <w:fldChar w:fldCharType="begin"/>
          </w:r>
          <w:r>
            <w:instrText xml:space="preserve"> PAGEREF _Toc15523 \h </w:instrText>
          </w:r>
          <w:r>
            <w:fldChar w:fldCharType="separate"/>
          </w:r>
          <w:r>
            <w:t>12</w:t>
          </w:r>
          <w:r>
            <w:fldChar w:fldCharType="end"/>
          </w:r>
          <w:r>
            <w:fldChar w:fldCharType="end"/>
          </w:r>
        </w:p>
        <w:p w14:paraId="0406762F">
          <w:pPr>
            <w:pStyle w:val="10"/>
            <w:tabs>
              <w:tab w:val="right" w:leader="dot" w:pos="9026"/>
            </w:tabs>
            <w:ind w:firstLine="420" w:firstLineChars="200"/>
          </w:pPr>
          <w:r>
            <w:fldChar w:fldCharType="begin"/>
          </w:r>
          <w:r>
            <w:instrText xml:space="preserve"> HYPERLINK \l _Toc9884 </w:instrText>
          </w:r>
          <w:r>
            <w:fldChar w:fldCharType="separate"/>
          </w:r>
          <w:r>
            <w:rPr>
              <w:rFonts w:hint="eastAsia" w:ascii="黑体" w:hAnsi="黑体" w:eastAsia="黑体" w:cs="黑体"/>
              <w:bCs/>
              <w:szCs w:val="30"/>
              <w:lang w:val="en-US" w:eastAsia="zh-CN"/>
            </w:rPr>
            <w:t>4.4.4  AI 工具功能期望</w:t>
          </w:r>
          <w:r>
            <w:tab/>
          </w:r>
          <w:r>
            <w:fldChar w:fldCharType="begin"/>
          </w:r>
          <w:r>
            <w:instrText xml:space="preserve"> PAGEREF _Toc9884 \h </w:instrText>
          </w:r>
          <w:r>
            <w:fldChar w:fldCharType="separate"/>
          </w:r>
          <w:r>
            <w:t>13</w:t>
          </w:r>
          <w:r>
            <w:fldChar w:fldCharType="end"/>
          </w:r>
          <w:r>
            <w:fldChar w:fldCharType="end"/>
          </w:r>
        </w:p>
        <w:p w14:paraId="6F4EE93A">
          <w:pPr>
            <w:pStyle w:val="8"/>
            <w:tabs>
              <w:tab w:val="right" w:leader="dot" w:pos="9026"/>
            </w:tabs>
            <w:rPr>
              <w:rFonts w:hint="eastAsia" w:eastAsiaTheme="minorEastAsia"/>
              <w:lang w:val="en-US" w:eastAsia="zh-CN"/>
            </w:rPr>
          </w:pPr>
          <w:r>
            <w:fldChar w:fldCharType="begin"/>
          </w:r>
          <w:r>
            <w:instrText xml:space="preserve"> HYPERLINK \l _Toc23591 </w:instrText>
          </w:r>
          <w:r>
            <w:fldChar w:fldCharType="separate"/>
          </w:r>
          <w:r>
            <w:rPr>
              <w:rFonts w:hint="eastAsia" w:ascii="宋体" w:hAnsi="宋体" w:eastAsia="宋体" w:cs="宋体"/>
              <w:szCs w:val="36"/>
            </w:rPr>
            <w:t xml:space="preserve">五、 </w:t>
          </w:r>
          <w:r>
            <w:rPr>
              <w:rFonts w:hint="eastAsia" w:ascii="宋体" w:hAnsi="宋体" w:eastAsia="宋体" w:cs="宋体"/>
              <w:szCs w:val="36"/>
              <w:lang w:val="en-US" w:eastAsia="zh-CN"/>
            </w:rPr>
            <w:t>核心</w:t>
          </w:r>
          <w:r>
            <w:rPr>
              <w:rFonts w:hint="eastAsia" w:ascii="宋体" w:hAnsi="宋体" w:eastAsia="宋体" w:cs="宋体"/>
              <w:szCs w:val="36"/>
            </w:rPr>
            <w:t>结论</w:t>
          </w:r>
          <w:r>
            <w:tab/>
          </w:r>
          <w:r>
            <w:rPr>
              <w:rFonts w:hint="eastAsia"/>
              <w:lang w:val="en-US" w:eastAsia="zh-CN"/>
            </w:rPr>
            <w:t>1</w:t>
          </w:r>
          <w:r>
            <w:fldChar w:fldCharType="end"/>
          </w:r>
          <w:r>
            <w:rPr>
              <w:rFonts w:hint="eastAsia"/>
              <w:lang w:val="en-US" w:eastAsia="zh-CN"/>
            </w:rPr>
            <w:t>4</w:t>
          </w:r>
        </w:p>
        <w:p w14:paraId="2C0099F5">
          <w:pPr>
            <w:pStyle w:val="8"/>
            <w:tabs>
              <w:tab w:val="right" w:leader="dot" w:pos="9026"/>
            </w:tabs>
          </w:pPr>
          <w:r>
            <w:fldChar w:fldCharType="begin"/>
          </w:r>
          <w:r>
            <w:instrText xml:space="preserve"> HYPERLINK \l _Toc8155 </w:instrText>
          </w:r>
          <w:r>
            <w:fldChar w:fldCharType="separate"/>
          </w:r>
          <w:r>
            <w:rPr>
              <w:rFonts w:hint="eastAsia" w:ascii="宋体" w:hAnsi="宋体" w:eastAsia="宋体" w:cs="宋体"/>
              <w:szCs w:val="36"/>
            </w:rPr>
            <w:t xml:space="preserve">六、 </w:t>
          </w:r>
          <w:r>
            <w:rPr>
              <w:rFonts w:hint="eastAsia" w:ascii="宋体" w:hAnsi="宋体" w:eastAsia="宋体" w:cs="宋体"/>
              <w:szCs w:val="36"/>
              <w:lang w:val="en-US" w:eastAsia="zh-CN"/>
            </w:rPr>
            <w:t>项目优化建议</w:t>
          </w:r>
          <w:r>
            <w:tab/>
          </w:r>
          <w:r>
            <w:fldChar w:fldCharType="begin"/>
          </w:r>
          <w:r>
            <w:instrText xml:space="preserve"> PAGEREF _Toc8155 \h </w:instrText>
          </w:r>
          <w:r>
            <w:fldChar w:fldCharType="separate"/>
          </w:r>
          <w:r>
            <w:t>15</w:t>
          </w:r>
          <w:r>
            <w:fldChar w:fldCharType="end"/>
          </w:r>
          <w:r>
            <w:fldChar w:fldCharType="end"/>
          </w:r>
        </w:p>
        <w:p w14:paraId="0CE20897">
          <w:pPr>
            <w:pStyle w:val="10"/>
            <w:tabs>
              <w:tab w:val="right" w:leader="dot" w:pos="9026"/>
            </w:tabs>
          </w:pPr>
          <w:r>
            <w:fldChar w:fldCharType="begin"/>
          </w:r>
          <w:r>
            <w:instrText xml:space="preserve"> HYPERLINK \l _Toc23511 </w:instrText>
          </w:r>
          <w:r>
            <w:fldChar w:fldCharType="separate"/>
          </w:r>
          <w:r>
            <w:rPr>
              <w:rFonts w:hint="eastAsia" w:ascii="宋体" w:hAnsi="宋体" w:eastAsia="宋体" w:cs="宋体"/>
              <w:szCs w:val="22"/>
            </w:rPr>
            <w:t xml:space="preserve">1. </w:t>
          </w:r>
          <w:r>
            <w:rPr>
              <w:rFonts w:hint="eastAsia" w:ascii="宋体" w:hAnsi="宋体" w:eastAsia="宋体" w:cs="宋体"/>
              <w:bCs/>
              <w:szCs w:val="24"/>
            </w:rPr>
            <w:t>精准定位目标群体，分层推进科普与培训</w:t>
          </w:r>
          <w:r>
            <w:tab/>
          </w:r>
          <w:r>
            <w:fldChar w:fldCharType="begin"/>
          </w:r>
          <w:r>
            <w:instrText xml:space="preserve"> PAGEREF _Toc23511 \h </w:instrText>
          </w:r>
          <w:r>
            <w:fldChar w:fldCharType="separate"/>
          </w:r>
          <w:r>
            <w:t>15</w:t>
          </w:r>
          <w:r>
            <w:fldChar w:fldCharType="end"/>
          </w:r>
          <w:r>
            <w:fldChar w:fldCharType="end"/>
          </w:r>
        </w:p>
        <w:p w14:paraId="2CDD56EA">
          <w:pPr>
            <w:pStyle w:val="10"/>
            <w:tabs>
              <w:tab w:val="right" w:leader="dot" w:pos="9026"/>
            </w:tabs>
          </w:pPr>
          <w:r>
            <w:fldChar w:fldCharType="begin"/>
          </w:r>
          <w:r>
            <w:instrText xml:space="preserve"> HYPERLINK \l _Toc23568 </w:instrText>
          </w:r>
          <w:r>
            <w:fldChar w:fldCharType="separate"/>
          </w:r>
          <w:r>
            <w:rPr>
              <w:rFonts w:hint="eastAsia" w:ascii="宋体" w:hAnsi="宋体" w:eastAsia="宋体" w:cs="宋体"/>
              <w:szCs w:val="22"/>
            </w:rPr>
            <w:t xml:space="preserve">2. </w:t>
          </w:r>
          <w:r>
            <w:rPr>
              <w:rFonts w:hint="eastAsia" w:ascii="宋体" w:hAnsi="宋体" w:eastAsia="宋体" w:cs="宋体"/>
              <w:bCs/>
              <w:szCs w:val="24"/>
            </w:rPr>
            <w:t>优化 AI 智慧检测小程序功能，解决核心痛点</w:t>
          </w:r>
          <w:r>
            <w:tab/>
          </w:r>
          <w:r>
            <w:fldChar w:fldCharType="begin"/>
          </w:r>
          <w:r>
            <w:instrText xml:space="preserve"> PAGEREF _Toc23568 \h </w:instrText>
          </w:r>
          <w:r>
            <w:fldChar w:fldCharType="separate"/>
          </w:r>
          <w:r>
            <w:t>15</w:t>
          </w:r>
          <w:r>
            <w:fldChar w:fldCharType="end"/>
          </w:r>
          <w:r>
            <w:fldChar w:fldCharType="end"/>
          </w:r>
        </w:p>
        <w:p w14:paraId="6B728917">
          <w:pPr>
            <w:pStyle w:val="10"/>
            <w:tabs>
              <w:tab w:val="right" w:leader="dot" w:pos="9026"/>
            </w:tabs>
          </w:pPr>
          <w:r>
            <w:fldChar w:fldCharType="begin"/>
          </w:r>
          <w:r>
            <w:instrText xml:space="preserve"> HYPERLINK \l _Toc7690 </w:instrText>
          </w:r>
          <w:r>
            <w:fldChar w:fldCharType="separate"/>
          </w:r>
          <w:r>
            <w:rPr>
              <w:rFonts w:hint="eastAsia" w:ascii="宋体" w:hAnsi="宋体" w:eastAsia="宋体" w:cs="宋体"/>
              <w:szCs w:val="22"/>
            </w:rPr>
            <w:t xml:space="preserve">3. </w:t>
          </w:r>
          <w:r>
            <w:rPr>
              <w:rFonts w:hint="eastAsia" w:ascii="宋体" w:hAnsi="宋体" w:eastAsia="宋体" w:cs="宋体"/>
              <w:bCs/>
              <w:szCs w:val="24"/>
            </w:rPr>
            <w:t>完善网格共治机制，构建 “线上 + 线下” 闭环</w:t>
          </w:r>
          <w:r>
            <w:tab/>
          </w:r>
          <w:r>
            <w:fldChar w:fldCharType="begin"/>
          </w:r>
          <w:r>
            <w:instrText xml:space="preserve"> PAGEREF _Toc7690 \h </w:instrText>
          </w:r>
          <w:r>
            <w:fldChar w:fldCharType="separate"/>
          </w:r>
          <w:r>
            <w:t>15</w:t>
          </w:r>
          <w:r>
            <w:fldChar w:fldCharType="end"/>
          </w:r>
          <w:r>
            <w:fldChar w:fldCharType="end"/>
          </w:r>
        </w:p>
        <w:p w14:paraId="456AD61C">
          <w:pPr>
            <w:pStyle w:val="8"/>
            <w:tabs>
              <w:tab w:val="right" w:leader="dot" w:pos="9026"/>
            </w:tabs>
          </w:pPr>
          <w:r>
            <w:fldChar w:fldCharType="begin"/>
          </w:r>
          <w:r>
            <w:instrText xml:space="preserve"> HYPERLINK \l _Toc12955 </w:instrText>
          </w:r>
          <w:r>
            <w:fldChar w:fldCharType="separate"/>
          </w:r>
          <w:r>
            <w:rPr>
              <w:rFonts w:hint="eastAsia" w:ascii="宋体" w:hAnsi="宋体" w:eastAsia="宋体" w:cs="宋体"/>
              <w:szCs w:val="36"/>
              <w:lang w:val="en-US" w:eastAsia="zh-CN"/>
            </w:rPr>
            <w:t>七、 参考文献</w:t>
          </w:r>
          <w:r>
            <w:tab/>
          </w:r>
          <w:r>
            <w:fldChar w:fldCharType="begin"/>
          </w:r>
          <w:r>
            <w:instrText xml:space="preserve"> PAGEREF _Toc12955 \h </w:instrText>
          </w:r>
          <w:r>
            <w:fldChar w:fldCharType="separate"/>
          </w:r>
          <w:r>
            <w:t>16</w:t>
          </w:r>
          <w:r>
            <w:fldChar w:fldCharType="end"/>
          </w:r>
          <w:r>
            <w:fldChar w:fldCharType="end"/>
          </w:r>
        </w:p>
        <w:p w14:paraId="7418B21A">
          <w:pPr>
            <w:sectPr>
              <w:pgSz w:w="11906" w:h="16838"/>
              <w:pgMar w:top="1440" w:right="1440" w:bottom="1440" w:left="1440" w:header="708" w:footer="708" w:gutter="0"/>
              <w:cols w:space="720" w:num="1"/>
              <w:docGrid w:linePitch="360" w:charSpace="0"/>
            </w:sectPr>
          </w:pPr>
          <w:r>
            <w:fldChar w:fldCharType="end"/>
          </w:r>
        </w:p>
      </w:sdtContent>
    </w:sdt>
    <w:p w14:paraId="11E6025C">
      <w:pPr>
        <w:pStyle w:val="3"/>
        <w:ind w:left="0" w:leftChars="0"/>
        <w:jc w:val="center"/>
        <w:outlineLvl w:val="0"/>
        <w:rPr>
          <w:rFonts w:hint="eastAsia" w:ascii="黑体" w:hAnsi="黑体" w:eastAsia="黑体" w:cs="黑体"/>
          <w:sz w:val="36"/>
          <w:szCs w:val="36"/>
        </w:rPr>
      </w:pPr>
      <w:bookmarkStart w:id="0" w:name="_Toc2715"/>
      <w:r>
        <w:rPr>
          <w:rFonts w:hint="eastAsia" w:ascii="黑体" w:hAnsi="黑体" w:eastAsia="黑体" w:cs="黑体"/>
          <w:sz w:val="36"/>
          <w:szCs w:val="36"/>
        </w:rPr>
        <w:t>二、引言</w:t>
      </w:r>
      <w:bookmarkEnd w:id="0"/>
    </w:p>
    <w:p w14:paraId="52E8BF95">
      <w:pPr>
        <w:pStyle w:val="4"/>
        <w:ind w:left="0" w:leftChars="0"/>
        <w:outlineLvl w:val="1"/>
        <w:rPr>
          <w:rFonts w:hint="eastAsia" w:ascii="黑体" w:hAnsi="黑体" w:eastAsia="黑体" w:cs="黑体"/>
        </w:rPr>
      </w:pPr>
      <w:bookmarkStart w:id="1" w:name="_Toc15929"/>
      <w:r>
        <w:rPr>
          <w:rFonts w:hint="eastAsia" w:ascii="黑体" w:hAnsi="黑体" w:eastAsia="黑体" w:cs="黑体"/>
        </w:rPr>
        <w:t>2.1 调查背景</w:t>
      </w:r>
      <w:bookmarkEnd w:id="1"/>
    </w:p>
    <w:p w14:paraId="50600304">
      <w:pPr>
        <w:pStyle w:val="18"/>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据浙江消费维权网公示数据，</w:t>
      </w: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年</w:t>
      </w:r>
      <w:r>
        <w:rPr>
          <w:rFonts w:hint="eastAsia" w:ascii="宋体" w:hAnsi="宋体" w:eastAsia="宋体" w:cs="宋体"/>
          <w:sz w:val="24"/>
          <w:szCs w:val="24"/>
          <w:lang w:val="en-US" w:eastAsia="zh-CN"/>
        </w:rPr>
        <w:t>第二季度浙江省舟山市</w:t>
      </w:r>
      <w:r>
        <w:rPr>
          <w:rFonts w:hint="eastAsia" w:ascii="宋体" w:hAnsi="宋体" w:eastAsia="宋体" w:cs="宋体"/>
          <w:sz w:val="24"/>
          <w:szCs w:val="24"/>
        </w:rPr>
        <w:t>普陀区</w:t>
      </w:r>
      <w:r>
        <w:rPr>
          <w:rFonts w:hint="eastAsia" w:ascii="宋体" w:hAnsi="宋体" w:eastAsia="宋体" w:cs="宋体"/>
          <w:sz w:val="24"/>
          <w:szCs w:val="24"/>
          <w:lang w:val="en-US" w:eastAsia="zh-CN"/>
        </w:rPr>
        <w:t>消费</w:t>
      </w:r>
      <w:r>
        <w:rPr>
          <w:rFonts w:hint="eastAsia" w:ascii="宋体" w:hAnsi="宋体" w:eastAsia="宋体" w:cs="宋体"/>
          <w:sz w:val="24"/>
          <w:szCs w:val="24"/>
        </w:rPr>
        <w:t>投诉</w:t>
      </w:r>
      <w:r>
        <w:rPr>
          <w:rFonts w:hint="eastAsia" w:ascii="宋体" w:hAnsi="宋体" w:eastAsia="宋体" w:cs="宋体"/>
          <w:sz w:val="24"/>
          <w:szCs w:val="24"/>
          <w:lang w:val="en-US" w:eastAsia="zh-CN"/>
        </w:rPr>
        <w:t>中</w:t>
      </w:r>
      <w:r>
        <w:rPr>
          <w:rFonts w:hint="eastAsia" w:ascii="宋体" w:hAnsi="宋体" w:eastAsia="宋体" w:cs="宋体"/>
          <w:sz w:val="24"/>
          <w:szCs w:val="24"/>
        </w:rPr>
        <w:t>食品安全类173件，占总投诉量的25.94%。据《“十四五” 国家食品安全规划》数据，社区作为食品消费与监管的末端场景，传统监管模式下问题发现率不足 30%，而公众主动参与率仅 15%。</w:t>
      </w:r>
      <w:r>
        <w:rPr>
          <w:rFonts w:hint="eastAsia" w:ascii="宋体" w:hAnsi="宋体" w:eastAsia="宋体" w:cs="宋体"/>
          <w:sz w:val="24"/>
          <w:szCs w:val="24"/>
          <w:lang w:val="en-US" w:eastAsia="zh-CN"/>
        </w:rPr>
        <w:t>由此可见，</w:t>
      </w:r>
      <w:r>
        <w:rPr>
          <w:rFonts w:hint="eastAsia" w:ascii="宋体" w:hAnsi="宋体" w:eastAsia="宋体" w:cs="宋体"/>
          <w:sz w:val="24"/>
          <w:szCs w:val="24"/>
        </w:rPr>
        <w:t>当前我国食品安全监管面临 “</w:t>
      </w:r>
      <w:r>
        <w:rPr>
          <w:rFonts w:hint="eastAsia" w:ascii="宋体" w:hAnsi="宋体" w:eastAsia="宋体" w:cs="宋体"/>
          <w:sz w:val="24"/>
          <w:szCs w:val="24"/>
          <w:lang w:val="en-US" w:eastAsia="zh-CN"/>
        </w:rPr>
        <w:t>隐患数量大</w:t>
      </w:r>
      <w:r>
        <w:rPr>
          <w:rFonts w:hint="eastAsia" w:ascii="宋体" w:hAnsi="宋体" w:eastAsia="宋体" w:cs="宋体"/>
          <w:sz w:val="24"/>
          <w:szCs w:val="24"/>
        </w:rPr>
        <w:t>、</w:t>
      </w:r>
      <w:r>
        <w:rPr>
          <w:rFonts w:hint="eastAsia" w:ascii="宋体" w:hAnsi="宋体" w:eastAsia="宋体" w:cs="宋体"/>
          <w:sz w:val="24"/>
          <w:szCs w:val="24"/>
          <w:lang w:val="en-US" w:eastAsia="zh-CN"/>
        </w:rPr>
        <w:t>发现率低</w:t>
      </w:r>
      <w:r>
        <w:rPr>
          <w:rFonts w:hint="eastAsia" w:ascii="宋体" w:hAnsi="宋体" w:eastAsia="宋体" w:cs="宋体"/>
          <w:sz w:val="24"/>
          <w:szCs w:val="24"/>
        </w:rPr>
        <w:t>、公众参与弱” 的三重挑战。</w:t>
      </w:r>
    </w:p>
    <w:p w14:paraId="7EA8A528">
      <w:pPr>
        <w:pStyle w:val="18"/>
        <w:ind w:firstLine="480" w:firstLineChars="200"/>
        <w:rPr>
          <w:rFonts w:hint="eastAsia" w:ascii="宋体" w:hAnsi="宋体" w:eastAsia="宋体" w:cs="宋体"/>
          <w:sz w:val="24"/>
          <w:szCs w:val="24"/>
        </w:rPr>
      </w:pPr>
      <w:r>
        <w:rPr>
          <w:rFonts w:hint="eastAsia" w:ascii="宋体" w:hAnsi="宋体" w:eastAsia="宋体" w:cs="宋体"/>
          <w:sz w:val="24"/>
          <w:szCs w:val="24"/>
        </w:rPr>
        <w:t>人工智能技术为破解这一困境提供新路径 ——AI 图像识别可实现食品标签信息秒级提取，AI 风险预警能整合区域检测数据推送隐患提示。本实践项目旨在探索 “AI + 社区食品安全共治” 模式，但前期走访发现：部分社区尝试推广的智慧监管工具因未贴合居民需求，出现 “技术闲置” 现象。因此，亟需通过系统性调查，明确居民真实需求与技术接受边界，避免 “技术脱节于需求” 的问题。</w:t>
      </w:r>
    </w:p>
    <w:p w14:paraId="5A0DEE5E">
      <w:pPr>
        <w:pStyle w:val="3"/>
        <w:ind w:left="0" w:leftChars="0"/>
        <w:outlineLvl w:val="0"/>
        <w:rPr>
          <w:rFonts w:hint="eastAsia" w:ascii="黑体" w:hAnsi="黑体" w:eastAsia="黑体" w:cs="黑体"/>
          <w:sz w:val="30"/>
          <w:szCs w:val="30"/>
        </w:rPr>
      </w:pPr>
      <w:bookmarkStart w:id="2" w:name="_Toc25779"/>
      <w:r>
        <w:rPr>
          <w:rFonts w:hint="eastAsia" w:ascii="黑体" w:hAnsi="黑体" w:eastAsia="黑体" w:cs="黑体"/>
          <w:sz w:val="30"/>
          <w:szCs w:val="30"/>
        </w:rPr>
        <w:t>2.</w:t>
      </w:r>
      <w:r>
        <w:rPr>
          <w:rFonts w:hint="eastAsia" w:ascii="黑体" w:hAnsi="黑体" w:eastAsia="黑体" w:cs="黑体"/>
          <w:sz w:val="30"/>
          <w:szCs w:val="30"/>
          <w:lang w:val="en-US" w:eastAsia="zh-CN"/>
        </w:rPr>
        <w:t>2</w:t>
      </w:r>
      <w:r>
        <w:rPr>
          <w:rFonts w:hint="eastAsia" w:ascii="黑体" w:hAnsi="黑体" w:eastAsia="黑体" w:cs="黑体"/>
          <w:sz w:val="30"/>
          <w:szCs w:val="30"/>
        </w:rPr>
        <w:t xml:space="preserve"> </w:t>
      </w:r>
      <w:r>
        <w:rPr>
          <w:rFonts w:hint="eastAsia" w:ascii="黑体" w:hAnsi="黑体" w:eastAsia="黑体" w:cs="黑体"/>
          <w:sz w:val="30"/>
          <w:szCs w:val="30"/>
          <w:lang w:val="en-US" w:eastAsia="zh-CN"/>
        </w:rPr>
        <w:t>文献</w:t>
      </w:r>
      <w:r>
        <w:rPr>
          <w:rFonts w:hint="eastAsia" w:ascii="黑体" w:hAnsi="黑体" w:eastAsia="黑体" w:cs="黑体"/>
          <w:sz w:val="30"/>
          <w:szCs w:val="30"/>
        </w:rPr>
        <w:t>调查</w:t>
      </w:r>
      <w:bookmarkEnd w:id="2"/>
    </w:p>
    <w:p w14:paraId="6AEF922E">
      <w:pPr>
        <w:keepNext w:val="0"/>
        <w:keepLines w:val="0"/>
        <w:widowControl/>
        <w:suppressLineNumbers w:val="0"/>
        <w:ind w:firstLine="480" w:firstLineChars="200"/>
        <w:jc w:val="left"/>
        <w:rPr>
          <w:rFonts w:hint="eastAsia" w:ascii="宋体" w:hAnsi="宋体" w:eastAsia="宋体" w:cs="宋体"/>
        </w:rPr>
      </w:pPr>
      <w:r>
        <w:rPr>
          <w:rFonts w:hint="eastAsia" w:ascii="宋体" w:hAnsi="宋体" w:eastAsia="宋体" w:cs="宋体"/>
          <w:kern w:val="0"/>
          <w:sz w:val="24"/>
          <w:szCs w:val="24"/>
          <w:lang w:val="en-US" w:eastAsia="zh-CN" w:bidi="ar"/>
        </w:rPr>
        <w:t>社区食品安全作为保障居民健康、维护社会稳定的关键领域</w:t>
      </w:r>
      <w:r>
        <w:rPr>
          <w:rFonts w:hint="eastAsia" w:ascii="宋体" w:hAnsi="宋体" w:eastAsia="宋体" w:cs="宋体"/>
          <w:kern w:val="0"/>
          <w:sz w:val="24"/>
          <w:szCs w:val="24"/>
          <w:vertAlign w:val="superscript"/>
          <w:lang w:val="en-US" w:eastAsia="zh-CN" w:bidi="ar"/>
        </w:rPr>
        <w:t>[1]</w:t>
      </w:r>
      <w:r>
        <w:rPr>
          <w:rFonts w:hint="eastAsia" w:ascii="宋体" w:hAnsi="宋体" w:eastAsia="宋体" w:cs="宋体"/>
          <w:kern w:val="0"/>
          <w:sz w:val="24"/>
          <w:szCs w:val="24"/>
          <w:lang w:val="en-US" w:eastAsia="zh-CN" w:bidi="ar"/>
        </w:rPr>
        <w:t>，近年来成为学界研究热点，现有文献围绕社区食品安全的实践形式、现状问题、影响因素及优化对策展开了多维度探讨，形成了较为丰富的研究成果。</w:t>
      </w:r>
    </w:p>
    <w:p w14:paraId="07DA87E3">
      <w:pPr>
        <w:keepNext w:val="0"/>
        <w:keepLines w:val="0"/>
        <w:widowControl/>
        <w:suppressLineNumbers w:val="0"/>
        <w:jc w:val="left"/>
        <w:rPr>
          <w:rFonts w:hint="eastAsia" w:ascii="宋体" w:hAnsi="宋体" w:eastAsia="宋体" w:cs="宋体"/>
        </w:rPr>
      </w:pPr>
      <w:r>
        <w:rPr>
          <w:rFonts w:hint="eastAsia" w:ascii="宋体" w:hAnsi="宋体" w:eastAsia="宋体" w:cs="宋体"/>
          <w:kern w:val="0"/>
          <w:sz w:val="24"/>
          <w:szCs w:val="24"/>
          <w:lang w:val="en-US" w:eastAsia="zh-CN" w:bidi="ar"/>
        </w:rPr>
        <w:t xml:space="preserve">    在社区团购场景下的食品安全研究中</w:t>
      </w:r>
      <w:r>
        <w:rPr>
          <w:rFonts w:hint="eastAsia" w:ascii="宋体" w:hAnsi="宋体" w:eastAsia="宋体" w:cs="宋体"/>
          <w:kern w:val="0"/>
          <w:sz w:val="24"/>
          <w:szCs w:val="24"/>
          <w:vertAlign w:val="superscript"/>
          <w:lang w:val="en-US" w:eastAsia="zh-CN" w:bidi="ar"/>
        </w:rPr>
        <w:t>[2]</w:t>
      </w:r>
      <w:r>
        <w:rPr>
          <w:rFonts w:hint="eastAsia" w:ascii="宋体" w:hAnsi="宋体" w:eastAsia="宋体" w:cs="宋体"/>
          <w:kern w:val="0"/>
          <w:sz w:val="24"/>
          <w:szCs w:val="24"/>
          <w:lang w:val="en-US" w:eastAsia="zh-CN" w:bidi="ar"/>
        </w:rPr>
        <w:t>分析了社区团购 “获客成本低、采购成本低、平台黏性强、存在人数与时间限制” 的特点，重点指出生鲜产品作为社区团购核心品类（占比约 70%），因易腐烂、对储存运输要求高，存在三大安全风险：一是商家易销售不新鲜或临近保质期产品，且团长自提点冷链设施不足加剧风险；二是消费者线下复称概率低，缺斤短两问题突出；三是生鲜产品质量、外观难以标准化，品质波动大。对此，研究提出需依据《食品安全法》等法规将平台与供货商纳入监管，加强食品价格与计量监管，畅通售后渠道，建立产品溯源体系，并要求团长落实索证索票、冷链储存责任，平台完善供货商评价与冷链物流建设。以山东省社区团购生鲜消费为例</w:t>
      </w:r>
      <w:r>
        <w:rPr>
          <w:rFonts w:hint="eastAsia" w:ascii="宋体" w:hAnsi="宋体" w:eastAsia="宋体" w:cs="宋体"/>
          <w:kern w:val="0"/>
          <w:sz w:val="24"/>
          <w:szCs w:val="24"/>
          <w:vertAlign w:val="superscript"/>
          <w:lang w:val="en-US" w:eastAsia="zh-CN" w:bidi="ar"/>
        </w:rPr>
        <w:t>[3]</w:t>
      </w:r>
      <w:r>
        <w:rPr>
          <w:rFonts w:hint="eastAsia" w:ascii="宋体" w:hAnsi="宋体" w:eastAsia="宋体" w:cs="宋体"/>
          <w:kern w:val="0"/>
          <w:sz w:val="24"/>
          <w:szCs w:val="24"/>
          <w:lang w:val="en-US" w:eastAsia="zh-CN" w:bidi="ar"/>
        </w:rPr>
        <w:t>，通过实证研究进一步揭示了消费者食品安全风险感知的影响因素与行为逻辑：卷入程度、风险态度（对风险感知具有显著正向效应，产品知识虽也正向影响风险感知（因消费者对知识真伪存疑、选择困惑），而风险感知又显著正向推动消费者采取减少风险行为（如偏好购买熟品、知名品牌、咨询其他消费者），同时发现消费者对社区团购平台信任度较低，对销量与商品详情信任不足。</w:t>
      </w:r>
    </w:p>
    <w:p w14:paraId="70B9AEC9">
      <w:pPr>
        <w:keepNext w:val="0"/>
        <w:keepLines w:val="0"/>
        <w:widowControl/>
        <w:suppressLineNumbers w:val="0"/>
        <w:ind w:firstLine="480" w:firstLineChars="200"/>
        <w:jc w:val="left"/>
        <w:rPr>
          <w:rFonts w:hint="eastAsia" w:ascii="宋体" w:hAnsi="宋体" w:eastAsia="宋体" w:cs="宋体"/>
        </w:rPr>
      </w:pPr>
      <w:r>
        <w:rPr>
          <w:rFonts w:hint="eastAsia" w:ascii="宋体" w:hAnsi="宋体" w:eastAsia="宋体" w:cs="宋体"/>
          <w:kern w:val="0"/>
          <w:sz w:val="24"/>
          <w:szCs w:val="24"/>
          <w:lang w:val="en-US" w:eastAsia="zh-CN" w:bidi="ar"/>
        </w:rPr>
        <w:t>在社区居民食品安全认知与科普研究领域，基于上海市 5 个社区 320 名居民的 KAP（知识 - 态度 - 行为）调研</w:t>
      </w:r>
      <w:r>
        <w:rPr>
          <w:rFonts w:hint="eastAsia" w:ascii="宋体" w:hAnsi="宋体" w:eastAsia="宋体" w:cs="宋体"/>
          <w:kern w:val="0"/>
          <w:sz w:val="24"/>
          <w:szCs w:val="24"/>
          <w:vertAlign w:val="superscript"/>
          <w:lang w:val="en-US" w:eastAsia="zh-CN" w:bidi="ar"/>
        </w:rPr>
        <w:t>[4]</w:t>
      </w:r>
      <w:r>
        <w:rPr>
          <w:rFonts w:hint="eastAsia" w:ascii="宋体" w:hAnsi="宋体" w:eastAsia="宋体" w:cs="宋体"/>
          <w:kern w:val="0"/>
          <w:sz w:val="24"/>
          <w:szCs w:val="24"/>
          <w:lang w:val="en-US" w:eastAsia="zh-CN" w:bidi="ar"/>
        </w:rPr>
        <w:t>发现，社区居民具备基础食品安全知识（平均得分 8.28 分/满分10分），但缺乏系统深入了解，存在明显认知误区（如 90% 居民误认甜玉米、圣女果为转基因食品），且个体差异较大；居民态度整体积极（关注安全问题、愿改进行为、有维权意识），但仍有 20.4% 居民存在高频食用烧烤油炸食品等不当行为（19 - 30 岁群体占比 43.55%）。研究同时证实，线上线下相结合的科普模式成效显著：科普后居民食品安全知识平均得分从 6.93 分提升至 9.61 分，主动维权意愿从 26.00% 升至 65.58%，对食品安全的关注度、信息查看意识等均明显改善。针对不同年龄层，研究提出差异化科普策略：儿童群体需采用线下交互式课程结合小实验；中青年群体宜通过线上推文、短视频开展快捷科普；老年群体应侧重保健养生内容，采用微信专栏（大字体、短篇幅）与线下课程结合的形式。</w:t>
      </w:r>
    </w:p>
    <w:p w14:paraId="3F06EF85">
      <w:pPr>
        <w:keepNext w:val="0"/>
        <w:keepLines w:val="0"/>
        <w:widowControl/>
        <w:suppressLineNumbers w:val="0"/>
        <w:ind w:firstLine="480" w:firstLineChars="200"/>
        <w:jc w:val="left"/>
        <w:rPr>
          <w:rFonts w:hint="eastAsia" w:ascii="宋体" w:hAnsi="宋体" w:eastAsia="宋体" w:cs="宋体"/>
        </w:rPr>
      </w:pPr>
      <w:r>
        <w:rPr>
          <w:rFonts w:hint="eastAsia" w:ascii="宋体" w:hAnsi="宋体" w:eastAsia="宋体" w:cs="宋体"/>
          <w:kern w:val="0"/>
          <w:sz w:val="24"/>
          <w:szCs w:val="24"/>
          <w:lang w:val="en-US" w:eastAsia="zh-CN" w:bidi="ar"/>
        </w:rPr>
        <w:t>综上，现有文献已覆盖社区食品安全的实践载体（食品安全社区、社区团购）、核心问题（认知误区、风险隐患、协作不足）、影响机制（消费者风险感知的驱动因素）及优化路径（科普、监管、多方协同），为社区食品安全治理提供了理论支撑与实践指引，同时也强调需进一步强化政府、社区、企业、消费者的协同联动，以实现社区食品安全的长效保障。</w:t>
      </w:r>
    </w:p>
    <w:p w14:paraId="3B22F7B8">
      <w:pPr>
        <w:pStyle w:val="18"/>
        <w:rPr>
          <w:rFonts w:hint="eastAsia" w:ascii="宋体" w:hAnsi="宋体" w:eastAsia="宋体" w:cs="宋体"/>
        </w:rPr>
      </w:pPr>
    </w:p>
    <w:p w14:paraId="1101F7D1">
      <w:pPr>
        <w:pStyle w:val="18"/>
        <w:rPr>
          <w:rFonts w:hint="eastAsia" w:ascii="宋体" w:hAnsi="宋体" w:eastAsia="宋体" w:cs="宋体"/>
        </w:rPr>
      </w:pPr>
    </w:p>
    <w:p w14:paraId="141D4A42">
      <w:pPr>
        <w:pStyle w:val="3"/>
        <w:ind w:left="0" w:leftChars="0"/>
        <w:outlineLvl w:val="0"/>
        <w:rPr>
          <w:rFonts w:hint="eastAsia" w:ascii="黑体" w:hAnsi="黑体" w:eastAsia="黑体" w:cs="黑体"/>
          <w:sz w:val="30"/>
          <w:szCs w:val="30"/>
        </w:rPr>
      </w:pPr>
      <w:bookmarkStart w:id="3" w:name="_Toc28083"/>
      <w:r>
        <w:rPr>
          <w:rFonts w:hint="eastAsia" w:ascii="黑体" w:hAnsi="黑体" w:eastAsia="黑体" w:cs="黑体"/>
          <w:sz w:val="30"/>
          <w:szCs w:val="30"/>
        </w:rPr>
        <w:t>2.</w:t>
      </w:r>
      <w:r>
        <w:rPr>
          <w:rFonts w:hint="eastAsia" w:ascii="黑体" w:hAnsi="黑体" w:eastAsia="黑体" w:cs="黑体"/>
          <w:sz w:val="30"/>
          <w:szCs w:val="30"/>
          <w:lang w:val="en-US" w:eastAsia="zh-CN"/>
        </w:rPr>
        <w:t>3</w:t>
      </w:r>
      <w:r>
        <w:rPr>
          <w:rFonts w:hint="eastAsia" w:ascii="黑体" w:hAnsi="黑体" w:eastAsia="黑体" w:cs="黑体"/>
          <w:sz w:val="30"/>
          <w:szCs w:val="30"/>
        </w:rPr>
        <w:t xml:space="preserve"> 调查目的</w:t>
      </w:r>
      <w:bookmarkEnd w:id="3"/>
    </w:p>
    <w:p w14:paraId="08D3EC68">
      <w:pPr>
        <w:pStyle w:val="18"/>
        <w:numPr>
          <w:ilvl w:val="0"/>
          <w:numId w:val="1"/>
        </w:numPr>
        <w:rPr>
          <w:rFonts w:hint="eastAsia" w:ascii="宋体" w:hAnsi="宋体" w:eastAsia="宋体" w:cs="宋体"/>
          <w:sz w:val="24"/>
          <w:szCs w:val="24"/>
        </w:rPr>
      </w:pPr>
      <w:r>
        <w:rPr>
          <w:rFonts w:hint="eastAsia" w:ascii="宋体" w:hAnsi="宋体" w:eastAsia="宋体" w:cs="宋体"/>
          <w:b/>
          <w:bCs/>
          <w:sz w:val="24"/>
          <w:szCs w:val="24"/>
        </w:rPr>
        <w:t>认知层面</w:t>
      </w:r>
      <w:r>
        <w:rPr>
          <w:rFonts w:hint="eastAsia" w:ascii="宋体" w:hAnsi="宋体" w:eastAsia="宋体" w:cs="宋体"/>
          <w:sz w:val="24"/>
          <w:szCs w:val="24"/>
        </w:rPr>
        <w:t>：精准掌握居民对食品标签核心信息（尤其是追溯类信息）的认知深度，识别 “知晓但不会用”“完全不了解” 等不同认知层级，为科普教育内容分层设计提供依据；</w:t>
      </w:r>
    </w:p>
    <w:p w14:paraId="60BA2818">
      <w:pPr>
        <w:pStyle w:val="18"/>
        <w:numPr>
          <w:ilvl w:val="0"/>
          <w:numId w:val="1"/>
        </w:numPr>
        <w:rPr>
          <w:rFonts w:hint="eastAsia" w:ascii="宋体" w:hAnsi="宋体" w:eastAsia="宋体" w:cs="宋体"/>
          <w:sz w:val="24"/>
          <w:szCs w:val="24"/>
        </w:rPr>
      </w:pPr>
      <w:r>
        <w:rPr>
          <w:rFonts w:hint="eastAsia" w:ascii="宋体" w:hAnsi="宋体" w:eastAsia="宋体" w:cs="宋体"/>
          <w:b/>
          <w:bCs/>
          <w:sz w:val="24"/>
          <w:szCs w:val="24"/>
        </w:rPr>
        <w:t>意愿层面</w:t>
      </w:r>
      <w:r>
        <w:rPr>
          <w:rFonts w:hint="eastAsia" w:ascii="宋体" w:hAnsi="宋体" w:eastAsia="宋体" w:cs="宋体"/>
          <w:sz w:val="24"/>
          <w:szCs w:val="24"/>
        </w:rPr>
        <w:t>：分析居民参与食品安全共治的动机与阻碍因素（如时间成本、信任度），锁定 “高意愿 - 高潜力” 的共治核心群体，为网格共治机制优化提供方向；</w:t>
      </w:r>
    </w:p>
    <w:p w14:paraId="28E7F197">
      <w:pPr>
        <w:pStyle w:val="18"/>
        <w:numPr>
          <w:ilvl w:val="0"/>
          <w:numId w:val="1"/>
        </w:numPr>
        <w:rPr>
          <w:rFonts w:hint="eastAsia" w:ascii="宋体" w:hAnsi="宋体" w:eastAsia="宋体" w:cs="宋体"/>
          <w:sz w:val="24"/>
          <w:szCs w:val="24"/>
        </w:rPr>
      </w:pPr>
      <w:r>
        <w:rPr>
          <w:rFonts w:hint="eastAsia" w:ascii="宋体" w:hAnsi="宋体" w:eastAsia="宋体" w:cs="宋体"/>
          <w:b/>
          <w:bCs/>
          <w:sz w:val="24"/>
          <w:szCs w:val="24"/>
        </w:rPr>
        <w:t>技术层面</w:t>
      </w:r>
      <w:r>
        <w:rPr>
          <w:rFonts w:hint="eastAsia" w:ascii="宋体" w:hAnsi="宋体" w:eastAsia="宋体" w:cs="宋体"/>
          <w:sz w:val="24"/>
          <w:szCs w:val="24"/>
        </w:rPr>
        <w:t>：厘清居民对 AI 赋能工具的认知盲区（如功能误解、安全顾虑）与功能需求优先级，指导 AI 智慧检测小程序的功能迭代与操作简化；</w:t>
      </w:r>
    </w:p>
    <w:p w14:paraId="2F820AE7">
      <w:pPr>
        <w:pStyle w:val="18"/>
        <w:numPr>
          <w:ilvl w:val="0"/>
          <w:numId w:val="1"/>
        </w:numPr>
        <w:rPr>
          <w:rFonts w:hint="eastAsia" w:ascii="宋体" w:hAnsi="宋体" w:eastAsia="宋体" w:cs="宋体"/>
          <w:sz w:val="24"/>
          <w:szCs w:val="24"/>
        </w:rPr>
      </w:pPr>
      <w:r>
        <w:rPr>
          <w:rFonts w:hint="eastAsia" w:ascii="宋体" w:hAnsi="宋体" w:eastAsia="宋体" w:cs="宋体"/>
          <w:b/>
          <w:bCs/>
          <w:sz w:val="24"/>
          <w:szCs w:val="24"/>
        </w:rPr>
        <w:t>实践层面</w:t>
      </w:r>
      <w:r>
        <w:rPr>
          <w:rFonts w:hint="eastAsia" w:ascii="宋体" w:hAnsi="宋体" w:eastAsia="宋体" w:cs="宋体"/>
          <w:sz w:val="24"/>
          <w:szCs w:val="24"/>
        </w:rPr>
        <w:t>：基于调查结果提出可落地的优化建议，推动项目与社区治理体系深度融合，提升监管智能化水平与居民参与率。</w:t>
      </w:r>
    </w:p>
    <w:p w14:paraId="50BE8797">
      <w:pPr>
        <w:pStyle w:val="18"/>
        <w:numPr>
          <w:ilvl w:val="0"/>
          <w:numId w:val="0"/>
        </w:numPr>
        <w:spacing w:before="120" w:after="120" w:line="288" w:lineRule="auto"/>
        <w:jc w:val="left"/>
        <w:rPr>
          <w:rFonts w:hint="eastAsia" w:ascii="宋体" w:hAnsi="宋体" w:eastAsia="宋体" w:cs="宋体"/>
        </w:rPr>
      </w:pPr>
    </w:p>
    <w:p w14:paraId="75BCE6C9">
      <w:pPr>
        <w:pStyle w:val="18"/>
        <w:numPr>
          <w:ilvl w:val="0"/>
          <w:numId w:val="0"/>
        </w:numPr>
        <w:spacing w:before="120" w:after="120" w:line="288" w:lineRule="auto"/>
        <w:jc w:val="left"/>
        <w:rPr>
          <w:rFonts w:hint="eastAsia" w:ascii="宋体" w:hAnsi="宋体" w:eastAsia="宋体" w:cs="宋体"/>
        </w:rPr>
      </w:pPr>
    </w:p>
    <w:p w14:paraId="64D7438A">
      <w:pPr>
        <w:pStyle w:val="3"/>
        <w:ind w:left="0" w:leftChars="0"/>
        <w:jc w:val="center"/>
        <w:outlineLvl w:val="0"/>
        <w:rPr>
          <w:rFonts w:hint="eastAsia" w:ascii="黑体" w:hAnsi="黑体" w:eastAsia="黑体" w:cs="黑体"/>
          <w:sz w:val="36"/>
          <w:szCs w:val="36"/>
        </w:rPr>
      </w:pPr>
      <w:bookmarkStart w:id="4" w:name="_Toc23572"/>
      <w:r>
        <w:rPr>
          <w:rFonts w:hint="eastAsia" w:ascii="黑体" w:hAnsi="黑体" w:eastAsia="黑体" w:cs="黑体"/>
          <w:sz w:val="36"/>
          <w:szCs w:val="36"/>
        </w:rPr>
        <w:t>三、调查对象与方法</w:t>
      </w:r>
      <w:bookmarkEnd w:id="4"/>
    </w:p>
    <w:p w14:paraId="2D735850">
      <w:pPr>
        <w:pStyle w:val="3"/>
        <w:ind w:left="0" w:leftChars="0"/>
        <w:outlineLvl w:val="0"/>
        <w:rPr>
          <w:rFonts w:hint="eastAsia" w:ascii="黑体" w:hAnsi="黑体" w:eastAsia="黑体" w:cs="黑体"/>
          <w:sz w:val="30"/>
          <w:szCs w:val="30"/>
        </w:rPr>
      </w:pPr>
      <w:bookmarkStart w:id="5" w:name="_Toc14530"/>
      <w:r>
        <w:rPr>
          <w:rFonts w:hint="eastAsia" w:ascii="黑体" w:hAnsi="黑体" w:eastAsia="黑体" w:cs="黑体"/>
          <w:sz w:val="30"/>
          <w:szCs w:val="30"/>
          <w:lang w:val="en-US" w:eastAsia="zh-CN"/>
        </w:rPr>
        <w:t xml:space="preserve">3.1 </w:t>
      </w:r>
      <w:r>
        <w:rPr>
          <w:rFonts w:hint="eastAsia" w:ascii="黑体" w:hAnsi="黑体" w:eastAsia="黑体" w:cs="黑体"/>
          <w:sz w:val="30"/>
          <w:szCs w:val="30"/>
        </w:rPr>
        <w:t>调查对象</w:t>
      </w:r>
      <w:bookmarkEnd w:id="5"/>
    </w:p>
    <w:p w14:paraId="22B222EE">
      <w:pPr>
        <w:pStyle w:val="18"/>
        <w:ind w:firstLine="480" w:firstLineChars="200"/>
        <w:rPr>
          <w:rFonts w:hint="eastAsia" w:ascii="宋体" w:hAnsi="宋体" w:eastAsia="宋体" w:cs="宋体"/>
        </w:rPr>
      </w:pPr>
      <w:r>
        <w:rPr>
          <w:rFonts w:hint="eastAsia" w:ascii="宋体" w:hAnsi="宋体" w:eastAsia="宋体" w:cs="宋体"/>
          <w:sz w:val="24"/>
          <w:szCs w:val="24"/>
        </w:rPr>
        <w:t>本次调查聚焦上海市普</w:t>
      </w:r>
      <w:r>
        <w:rPr>
          <w:rFonts w:hint="eastAsia" w:ascii="宋体" w:hAnsi="宋体" w:eastAsia="宋体" w:cs="宋体"/>
          <w:kern w:val="0"/>
          <w:sz w:val="24"/>
          <w:szCs w:val="24"/>
          <w:lang w:val="en-US" w:eastAsia="zh-CN" w:bidi="ar"/>
        </w:rPr>
        <w:t>陀区居民，涵盖不同性</w:t>
      </w:r>
      <w:r>
        <w:rPr>
          <w:rFonts w:hint="eastAsia" w:ascii="宋体" w:hAnsi="宋体" w:eastAsia="宋体" w:cs="宋体"/>
          <w:sz w:val="24"/>
          <w:szCs w:val="24"/>
        </w:rPr>
        <w:t>别、年龄、食品采购角色的群体，共发放问卷 230 份，回收有效问卷 211 份，有效回收率 91.74%，样本具有一定代表性。</w:t>
      </w:r>
    </w:p>
    <w:p w14:paraId="479157B1">
      <w:pPr>
        <w:pStyle w:val="3"/>
        <w:ind w:left="0" w:leftChars="0"/>
        <w:outlineLvl w:val="0"/>
        <w:rPr>
          <w:rFonts w:hint="eastAsia" w:ascii="黑体" w:hAnsi="黑体" w:eastAsia="黑体" w:cs="黑体"/>
          <w:sz w:val="30"/>
          <w:szCs w:val="30"/>
          <w:lang w:val="en-US" w:eastAsia="zh-CN"/>
        </w:rPr>
      </w:pPr>
    </w:p>
    <w:p w14:paraId="69ABBCAC">
      <w:pPr>
        <w:pStyle w:val="3"/>
        <w:ind w:left="0" w:leftChars="0"/>
        <w:outlineLvl w:val="0"/>
        <w:rPr>
          <w:rFonts w:hint="eastAsia" w:ascii="黑体" w:hAnsi="黑体" w:eastAsia="黑体" w:cs="黑体"/>
          <w:sz w:val="30"/>
          <w:szCs w:val="30"/>
        </w:rPr>
      </w:pPr>
      <w:bookmarkStart w:id="6" w:name="_Toc8056"/>
      <w:r>
        <w:rPr>
          <w:rFonts w:hint="eastAsia" w:ascii="黑体" w:hAnsi="黑体" w:eastAsia="黑体" w:cs="黑体"/>
          <w:sz w:val="30"/>
          <w:szCs w:val="30"/>
          <w:lang w:val="en-US" w:eastAsia="zh-CN"/>
        </w:rPr>
        <w:t xml:space="preserve">3.2 </w:t>
      </w:r>
      <w:r>
        <w:rPr>
          <w:rFonts w:hint="eastAsia" w:ascii="黑体" w:hAnsi="黑体" w:eastAsia="黑体" w:cs="黑体"/>
          <w:sz w:val="30"/>
          <w:szCs w:val="30"/>
        </w:rPr>
        <w:t>调查方法</w:t>
      </w:r>
      <w:bookmarkEnd w:id="6"/>
    </w:p>
    <w:p w14:paraId="54752ECA">
      <w:pPr>
        <w:pStyle w:val="18"/>
        <w:numPr>
          <w:ilvl w:val="0"/>
          <w:numId w:val="2"/>
        </w:numPr>
        <w:rPr>
          <w:rFonts w:hint="eastAsia" w:ascii="宋体" w:hAnsi="宋体" w:eastAsia="宋体" w:cs="宋体"/>
          <w:sz w:val="24"/>
          <w:szCs w:val="24"/>
        </w:rPr>
      </w:pPr>
      <w:r>
        <w:rPr>
          <w:rFonts w:hint="eastAsia" w:ascii="宋体" w:hAnsi="宋体" w:eastAsia="宋体" w:cs="宋体"/>
          <w:sz w:val="24"/>
          <w:szCs w:val="24"/>
        </w:rPr>
        <w:t>问卷设计：问卷内容涵盖样本基本特征（性别、年龄、采购角色）、食品安全认知（标签认知、购买关注重点）、共治意愿（参与态度、影响因素）、AI 工具认知与需求（认知水平、使用意愿、功能期望、顾虑）四大维度，确保问题逻辑清晰、针对性强；</w:t>
      </w:r>
    </w:p>
    <w:p w14:paraId="24286FCD">
      <w:pPr>
        <w:pStyle w:val="18"/>
        <w:numPr>
          <w:ilvl w:val="0"/>
          <w:numId w:val="2"/>
        </w:numPr>
        <w:rPr>
          <w:rFonts w:hint="eastAsia" w:ascii="宋体" w:hAnsi="宋体" w:eastAsia="宋体" w:cs="宋体"/>
          <w:sz w:val="24"/>
          <w:szCs w:val="24"/>
        </w:rPr>
      </w:pPr>
      <w:r>
        <w:rPr>
          <w:rFonts w:hint="eastAsia" w:ascii="宋体" w:hAnsi="宋体" w:eastAsia="宋体" w:cs="宋体"/>
          <w:sz w:val="24"/>
          <w:szCs w:val="24"/>
        </w:rPr>
        <w:t>数据处理：采用统计学方法对数据进行描述性分析（比例、平均分）与交叉分析（采购角色 - 共治意愿、年龄 - AI 使用意愿等），使用图表呈现关键数据，提升分析直观性。</w:t>
      </w:r>
    </w:p>
    <w:p w14:paraId="3D2B25F4">
      <w:pPr>
        <w:pStyle w:val="3"/>
        <w:ind w:left="0" w:leftChars="0"/>
        <w:jc w:val="center"/>
        <w:outlineLvl w:val="0"/>
        <w:rPr>
          <w:rFonts w:hint="eastAsia" w:ascii="黑体" w:hAnsi="黑体" w:eastAsia="黑体" w:cs="黑体"/>
          <w:sz w:val="36"/>
          <w:szCs w:val="36"/>
        </w:rPr>
      </w:pPr>
    </w:p>
    <w:p w14:paraId="6F507F39">
      <w:pPr>
        <w:pStyle w:val="3"/>
        <w:ind w:left="0" w:leftChars="0"/>
        <w:jc w:val="center"/>
        <w:outlineLvl w:val="0"/>
        <w:rPr>
          <w:rFonts w:hint="eastAsia" w:ascii="黑体" w:hAnsi="黑体" w:eastAsia="黑体" w:cs="黑体"/>
          <w:sz w:val="36"/>
          <w:szCs w:val="36"/>
        </w:rPr>
      </w:pPr>
      <w:bookmarkStart w:id="7" w:name="_Toc22656"/>
      <w:r>
        <w:rPr>
          <w:rFonts w:hint="eastAsia" w:ascii="黑体" w:hAnsi="黑体" w:eastAsia="黑体" w:cs="黑体"/>
          <w:sz w:val="36"/>
          <w:szCs w:val="36"/>
        </w:rPr>
        <w:t>四、调查结果与分析</w:t>
      </w:r>
      <w:bookmarkEnd w:id="7"/>
    </w:p>
    <w:p w14:paraId="53BE79E6">
      <w:pPr>
        <w:pStyle w:val="3"/>
        <w:ind w:left="0" w:leftChars="0"/>
        <w:outlineLvl w:val="0"/>
        <w:rPr>
          <w:rFonts w:hint="eastAsia" w:ascii="黑体" w:hAnsi="黑体" w:eastAsia="黑体" w:cs="黑体"/>
          <w:sz w:val="30"/>
          <w:szCs w:val="30"/>
        </w:rPr>
      </w:pPr>
      <w:bookmarkStart w:id="8" w:name="_Toc31644"/>
      <w:r>
        <w:rPr>
          <w:rFonts w:hint="eastAsia" w:ascii="黑体" w:hAnsi="黑体" w:eastAsia="黑体" w:cs="黑体"/>
          <w:sz w:val="30"/>
          <w:szCs w:val="30"/>
          <w:lang w:val="en-US" w:eastAsia="zh-CN"/>
        </w:rPr>
        <w:t xml:space="preserve">4.1 </w:t>
      </w:r>
      <w:r>
        <w:rPr>
          <w:rFonts w:hint="eastAsia" w:ascii="黑体" w:hAnsi="黑体" w:eastAsia="黑体" w:cs="黑体"/>
          <w:sz w:val="30"/>
          <w:szCs w:val="30"/>
        </w:rPr>
        <w:t>样本基本特征</w:t>
      </w:r>
      <w:bookmarkEnd w:id="8"/>
    </w:p>
    <w:p w14:paraId="096E49E8">
      <w:pPr>
        <w:pStyle w:val="18"/>
        <w:rPr>
          <w:rFonts w:hint="eastAsia" w:ascii="宋体" w:hAnsi="宋体" w:eastAsia="宋体" w:cs="宋体"/>
        </w:rPr>
      </w:pPr>
      <w:r>
        <w:rPr>
          <w:rFonts w:hint="eastAsia" w:ascii="宋体" w:hAnsi="宋体" w:eastAsia="宋体" w:cs="宋体"/>
        </w:rPr>
        <w:t>本次调查共回收有效问卷 211 份，样本结构如下，为后续针对性分析奠定基础：</w:t>
      </w:r>
    </w:p>
    <w:p w14:paraId="42205D59">
      <w:pPr>
        <w:pStyle w:val="18"/>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 4-1 问卷结构量表</w:t>
      </w:r>
    </w:p>
    <w:tbl>
      <w:tblPr>
        <w:tblStyle w:val="12"/>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766"/>
        <w:gridCol w:w="3574"/>
        <w:gridCol w:w="1156"/>
        <w:gridCol w:w="1718"/>
      </w:tblGrid>
      <w:tr w14:paraId="2717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2766" w:type="dxa"/>
            <w:tcBorders>
              <w:top w:val="single" w:color="auto" w:sz="12" w:space="0"/>
              <w:left w:val="nil"/>
              <w:bottom w:val="single" w:color="auto" w:sz="4" w:space="0"/>
              <w:right w:val="nil"/>
            </w:tcBorders>
            <w:vAlign w:val="center"/>
          </w:tcPr>
          <w:p w14:paraId="65739CFD">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维度</w:t>
            </w:r>
          </w:p>
        </w:tc>
        <w:tc>
          <w:tcPr>
            <w:tcW w:w="3574" w:type="dxa"/>
            <w:tcBorders>
              <w:top w:val="single" w:color="auto" w:sz="12" w:space="0"/>
              <w:left w:val="nil"/>
              <w:bottom w:val="single" w:color="auto" w:sz="4" w:space="0"/>
              <w:right w:val="nil"/>
            </w:tcBorders>
            <w:vAlign w:val="center"/>
          </w:tcPr>
          <w:p w14:paraId="41A1C114">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分类</w:t>
            </w:r>
          </w:p>
        </w:tc>
        <w:tc>
          <w:tcPr>
            <w:tcW w:w="1156" w:type="dxa"/>
            <w:tcBorders>
              <w:top w:val="single" w:color="auto" w:sz="12" w:space="0"/>
              <w:left w:val="nil"/>
              <w:bottom w:val="single" w:color="auto" w:sz="4" w:space="0"/>
              <w:right w:val="nil"/>
            </w:tcBorders>
            <w:vAlign w:val="center"/>
          </w:tcPr>
          <w:p w14:paraId="54E488FB">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小计</w:t>
            </w:r>
          </w:p>
        </w:tc>
        <w:tc>
          <w:tcPr>
            <w:tcW w:w="1718" w:type="dxa"/>
            <w:tcBorders>
              <w:top w:val="single" w:color="auto" w:sz="12" w:space="0"/>
              <w:left w:val="nil"/>
              <w:bottom w:val="single" w:color="auto" w:sz="4" w:space="0"/>
              <w:right w:val="nil"/>
            </w:tcBorders>
            <w:vAlign w:val="center"/>
          </w:tcPr>
          <w:p w14:paraId="6306132E">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比例</w:t>
            </w:r>
          </w:p>
        </w:tc>
      </w:tr>
      <w:tr w14:paraId="399B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single" w:color="auto" w:sz="4" w:space="0"/>
              <w:left w:val="nil"/>
              <w:bottom w:val="nil"/>
              <w:right w:val="nil"/>
            </w:tcBorders>
            <w:vAlign w:val="center"/>
          </w:tcPr>
          <w:p w14:paraId="092DD394">
            <w:pPr>
              <w:pStyle w:val="18"/>
              <w:snapToGrid w:val="0"/>
              <w:jc w:val="center"/>
              <w:rPr>
                <w:rFonts w:hint="eastAsia" w:ascii="宋体" w:hAnsi="宋体" w:eastAsia="宋体" w:cs="宋体"/>
                <w:sz w:val="22"/>
              </w:rPr>
            </w:pPr>
            <w:r>
              <w:rPr>
                <w:rFonts w:hint="eastAsia" w:ascii="宋体" w:hAnsi="宋体" w:eastAsia="宋体" w:cs="宋体"/>
                <w:sz w:val="22"/>
              </w:rPr>
              <w:t>性别</w:t>
            </w:r>
          </w:p>
        </w:tc>
        <w:tc>
          <w:tcPr>
            <w:tcW w:w="3574" w:type="dxa"/>
            <w:tcBorders>
              <w:top w:val="single" w:color="auto" w:sz="4" w:space="0"/>
              <w:left w:val="nil"/>
              <w:bottom w:val="nil"/>
              <w:right w:val="nil"/>
            </w:tcBorders>
            <w:vAlign w:val="center"/>
          </w:tcPr>
          <w:p w14:paraId="2C6129A4">
            <w:pPr>
              <w:pStyle w:val="18"/>
              <w:snapToGrid w:val="0"/>
              <w:jc w:val="center"/>
              <w:rPr>
                <w:rFonts w:hint="eastAsia" w:ascii="宋体" w:hAnsi="宋体" w:eastAsia="宋体" w:cs="宋体"/>
                <w:sz w:val="22"/>
              </w:rPr>
            </w:pPr>
            <w:r>
              <w:rPr>
                <w:rFonts w:hint="eastAsia" w:ascii="宋体" w:hAnsi="宋体" w:eastAsia="宋体" w:cs="宋体"/>
                <w:sz w:val="22"/>
              </w:rPr>
              <w:t>男</w:t>
            </w:r>
          </w:p>
        </w:tc>
        <w:tc>
          <w:tcPr>
            <w:tcW w:w="1156" w:type="dxa"/>
            <w:tcBorders>
              <w:top w:val="single" w:color="auto" w:sz="4" w:space="0"/>
              <w:left w:val="nil"/>
              <w:bottom w:val="nil"/>
              <w:right w:val="nil"/>
            </w:tcBorders>
            <w:vAlign w:val="center"/>
          </w:tcPr>
          <w:p w14:paraId="4BC2435F">
            <w:pPr>
              <w:pStyle w:val="18"/>
              <w:snapToGrid w:val="0"/>
              <w:jc w:val="center"/>
              <w:rPr>
                <w:rFonts w:hint="eastAsia" w:ascii="宋体" w:hAnsi="宋体" w:eastAsia="宋体" w:cs="宋体"/>
                <w:sz w:val="22"/>
              </w:rPr>
            </w:pPr>
            <w:r>
              <w:rPr>
                <w:rFonts w:hint="eastAsia" w:ascii="宋体" w:hAnsi="宋体" w:eastAsia="宋体" w:cs="宋体"/>
                <w:sz w:val="22"/>
              </w:rPr>
              <w:t>90</w:t>
            </w:r>
          </w:p>
        </w:tc>
        <w:tc>
          <w:tcPr>
            <w:tcW w:w="1718" w:type="dxa"/>
            <w:tcBorders>
              <w:top w:val="single" w:color="auto" w:sz="4" w:space="0"/>
              <w:left w:val="nil"/>
              <w:bottom w:val="nil"/>
              <w:right w:val="nil"/>
            </w:tcBorders>
            <w:vAlign w:val="center"/>
          </w:tcPr>
          <w:p w14:paraId="47679EF3">
            <w:pPr>
              <w:pStyle w:val="18"/>
              <w:snapToGrid w:val="0"/>
              <w:jc w:val="center"/>
              <w:rPr>
                <w:rFonts w:hint="eastAsia" w:ascii="宋体" w:hAnsi="宋体" w:eastAsia="宋体" w:cs="宋体"/>
                <w:sz w:val="22"/>
              </w:rPr>
            </w:pPr>
            <w:r>
              <w:rPr>
                <w:rFonts w:hint="eastAsia" w:ascii="宋体" w:hAnsi="宋体" w:eastAsia="宋体" w:cs="宋体"/>
                <w:sz w:val="22"/>
              </w:rPr>
              <w:t>42.65%</w:t>
            </w:r>
          </w:p>
        </w:tc>
      </w:tr>
      <w:tr w14:paraId="3A3D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5DB67797">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6FF2B254">
            <w:pPr>
              <w:pStyle w:val="18"/>
              <w:snapToGrid w:val="0"/>
              <w:jc w:val="center"/>
              <w:rPr>
                <w:rFonts w:hint="eastAsia" w:ascii="宋体" w:hAnsi="宋体" w:eastAsia="宋体" w:cs="宋体"/>
                <w:sz w:val="22"/>
              </w:rPr>
            </w:pPr>
            <w:r>
              <w:rPr>
                <w:rFonts w:hint="eastAsia" w:ascii="宋体" w:hAnsi="宋体" w:eastAsia="宋体" w:cs="宋体"/>
                <w:sz w:val="22"/>
              </w:rPr>
              <w:t>女</w:t>
            </w:r>
          </w:p>
        </w:tc>
        <w:tc>
          <w:tcPr>
            <w:tcW w:w="1156" w:type="dxa"/>
            <w:tcBorders>
              <w:top w:val="nil"/>
              <w:left w:val="nil"/>
              <w:bottom w:val="nil"/>
              <w:right w:val="nil"/>
            </w:tcBorders>
            <w:vAlign w:val="center"/>
          </w:tcPr>
          <w:p w14:paraId="512DE90B">
            <w:pPr>
              <w:pStyle w:val="18"/>
              <w:snapToGrid w:val="0"/>
              <w:jc w:val="center"/>
              <w:rPr>
                <w:rFonts w:hint="eastAsia" w:ascii="宋体" w:hAnsi="宋体" w:eastAsia="宋体" w:cs="宋体"/>
                <w:sz w:val="22"/>
              </w:rPr>
            </w:pPr>
            <w:r>
              <w:rPr>
                <w:rFonts w:hint="eastAsia" w:ascii="宋体" w:hAnsi="宋体" w:eastAsia="宋体" w:cs="宋体"/>
                <w:sz w:val="22"/>
              </w:rPr>
              <w:t>121</w:t>
            </w:r>
          </w:p>
        </w:tc>
        <w:tc>
          <w:tcPr>
            <w:tcW w:w="1718" w:type="dxa"/>
            <w:tcBorders>
              <w:top w:val="nil"/>
              <w:left w:val="nil"/>
              <w:bottom w:val="nil"/>
              <w:right w:val="nil"/>
            </w:tcBorders>
            <w:vAlign w:val="center"/>
          </w:tcPr>
          <w:p w14:paraId="4284B112">
            <w:pPr>
              <w:pStyle w:val="18"/>
              <w:snapToGrid w:val="0"/>
              <w:jc w:val="center"/>
              <w:rPr>
                <w:rFonts w:hint="eastAsia" w:ascii="宋体" w:hAnsi="宋体" w:eastAsia="宋体" w:cs="宋体"/>
                <w:sz w:val="22"/>
              </w:rPr>
            </w:pPr>
            <w:r>
              <w:rPr>
                <w:rFonts w:hint="eastAsia" w:ascii="宋体" w:hAnsi="宋体" w:eastAsia="宋体" w:cs="宋体"/>
                <w:sz w:val="22"/>
              </w:rPr>
              <w:t>57.35%</w:t>
            </w:r>
          </w:p>
        </w:tc>
      </w:tr>
      <w:tr w14:paraId="1D83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41E3F5EF">
            <w:pPr>
              <w:pStyle w:val="18"/>
              <w:snapToGrid w:val="0"/>
              <w:jc w:val="center"/>
              <w:rPr>
                <w:rFonts w:hint="eastAsia" w:ascii="宋体" w:hAnsi="宋体" w:eastAsia="宋体" w:cs="宋体"/>
                <w:sz w:val="22"/>
              </w:rPr>
            </w:pPr>
            <w:r>
              <w:rPr>
                <w:rFonts w:hint="eastAsia" w:ascii="宋体" w:hAnsi="宋体" w:eastAsia="宋体" w:cs="宋体"/>
                <w:sz w:val="22"/>
              </w:rPr>
              <w:t>年龄</w:t>
            </w:r>
          </w:p>
        </w:tc>
        <w:tc>
          <w:tcPr>
            <w:tcW w:w="3574" w:type="dxa"/>
            <w:tcBorders>
              <w:top w:val="nil"/>
              <w:left w:val="nil"/>
              <w:bottom w:val="nil"/>
              <w:right w:val="nil"/>
            </w:tcBorders>
            <w:vAlign w:val="center"/>
          </w:tcPr>
          <w:p w14:paraId="763FB100">
            <w:pPr>
              <w:pStyle w:val="18"/>
              <w:snapToGrid w:val="0"/>
              <w:jc w:val="center"/>
              <w:rPr>
                <w:rFonts w:hint="eastAsia" w:ascii="宋体" w:hAnsi="宋体" w:eastAsia="宋体" w:cs="宋体"/>
                <w:sz w:val="22"/>
              </w:rPr>
            </w:pPr>
            <w:r>
              <w:rPr>
                <w:rFonts w:hint="eastAsia" w:ascii="宋体" w:hAnsi="宋体" w:eastAsia="宋体" w:cs="宋体"/>
                <w:sz w:val="22"/>
              </w:rPr>
              <w:t>18 岁以下</w:t>
            </w:r>
          </w:p>
        </w:tc>
        <w:tc>
          <w:tcPr>
            <w:tcW w:w="1156" w:type="dxa"/>
            <w:tcBorders>
              <w:top w:val="nil"/>
              <w:left w:val="nil"/>
              <w:bottom w:val="nil"/>
              <w:right w:val="nil"/>
            </w:tcBorders>
            <w:vAlign w:val="center"/>
          </w:tcPr>
          <w:p w14:paraId="6DCDCF9E">
            <w:pPr>
              <w:pStyle w:val="18"/>
              <w:snapToGrid w:val="0"/>
              <w:jc w:val="center"/>
              <w:rPr>
                <w:rFonts w:hint="eastAsia" w:ascii="宋体" w:hAnsi="宋体" w:eastAsia="宋体" w:cs="宋体"/>
                <w:sz w:val="22"/>
              </w:rPr>
            </w:pPr>
            <w:r>
              <w:rPr>
                <w:rFonts w:hint="eastAsia" w:ascii="宋体" w:hAnsi="宋体" w:eastAsia="宋体" w:cs="宋体"/>
                <w:sz w:val="22"/>
              </w:rPr>
              <w:t>17</w:t>
            </w:r>
          </w:p>
        </w:tc>
        <w:tc>
          <w:tcPr>
            <w:tcW w:w="1718" w:type="dxa"/>
            <w:tcBorders>
              <w:top w:val="nil"/>
              <w:left w:val="nil"/>
              <w:bottom w:val="nil"/>
              <w:right w:val="nil"/>
            </w:tcBorders>
            <w:vAlign w:val="center"/>
          </w:tcPr>
          <w:p w14:paraId="2B83EDC7">
            <w:pPr>
              <w:pStyle w:val="18"/>
              <w:snapToGrid w:val="0"/>
              <w:jc w:val="center"/>
              <w:rPr>
                <w:rFonts w:hint="eastAsia" w:ascii="宋体" w:hAnsi="宋体" w:eastAsia="宋体" w:cs="宋体"/>
                <w:sz w:val="22"/>
              </w:rPr>
            </w:pPr>
            <w:r>
              <w:rPr>
                <w:rFonts w:hint="eastAsia" w:ascii="宋体" w:hAnsi="宋体" w:eastAsia="宋体" w:cs="宋体"/>
                <w:sz w:val="22"/>
              </w:rPr>
              <w:t>8.06%</w:t>
            </w:r>
          </w:p>
        </w:tc>
      </w:tr>
      <w:tr w14:paraId="5284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4EC90B99">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6977EAEB">
            <w:pPr>
              <w:pStyle w:val="18"/>
              <w:snapToGrid w:val="0"/>
              <w:jc w:val="center"/>
              <w:rPr>
                <w:rFonts w:hint="eastAsia" w:ascii="宋体" w:hAnsi="宋体" w:eastAsia="宋体" w:cs="宋体"/>
                <w:sz w:val="22"/>
              </w:rPr>
            </w:pPr>
            <w:r>
              <w:rPr>
                <w:rFonts w:hint="eastAsia" w:ascii="宋体" w:hAnsi="宋体" w:eastAsia="宋体" w:cs="宋体"/>
                <w:sz w:val="22"/>
              </w:rPr>
              <w:t>18-30 岁</w:t>
            </w:r>
          </w:p>
        </w:tc>
        <w:tc>
          <w:tcPr>
            <w:tcW w:w="1156" w:type="dxa"/>
            <w:tcBorders>
              <w:top w:val="nil"/>
              <w:left w:val="nil"/>
              <w:bottom w:val="nil"/>
              <w:right w:val="nil"/>
            </w:tcBorders>
            <w:vAlign w:val="center"/>
          </w:tcPr>
          <w:p w14:paraId="4310E9BA">
            <w:pPr>
              <w:pStyle w:val="18"/>
              <w:snapToGrid w:val="0"/>
              <w:jc w:val="center"/>
              <w:rPr>
                <w:rFonts w:hint="eastAsia" w:ascii="宋体" w:hAnsi="宋体" w:eastAsia="宋体" w:cs="宋体"/>
                <w:sz w:val="22"/>
              </w:rPr>
            </w:pPr>
            <w:r>
              <w:rPr>
                <w:rFonts w:hint="eastAsia" w:ascii="宋体" w:hAnsi="宋体" w:eastAsia="宋体" w:cs="宋体"/>
                <w:sz w:val="22"/>
              </w:rPr>
              <w:t>104</w:t>
            </w:r>
          </w:p>
        </w:tc>
        <w:tc>
          <w:tcPr>
            <w:tcW w:w="1718" w:type="dxa"/>
            <w:tcBorders>
              <w:top w:val="nil"/>
              <w:left w:val="nil"/>
              <w:bottom w:val="nil"/>
              <w:right w:val="nil"/>
            </w:tcBorders>
            <w:vAlign w:val="center"/>
          </w:tcPr>
          <w:p w14:paraId="7DCC01F9">
            <w:pPr>
              <w:pStyle w:val="18"/>
              <w:snapToGrid w:val="0"/>
              <w:jc w:val="center"/>
              <w:rPr>
                <w:rFonts w:hint="eastAsia" w:ascii="宋体" w:hAnsi="宋体" w:eastAsia="宋体" w:cs="宋体"/>
                <w:sz w:val="22"/>
              </w:rPr>
            </w:pPr>
            <w:r>
              <w:rPr>
                <w:rFonts w:hint="eastAsia" w:ascii="宋体" w:hAnsi="宋体" w:eastAsia="宋体" w:cs="宋体"/>
                <w:sz w:val="22"/>
              </w:rPr>
              <w:t>49.29%</w:t>
            </w:r>
          </w:p>
        </w:tc>
      </w:tr>
      <w:tr w14:paraId="1E8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57E704E6">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25005E6B">
            <w:pPr>
              <w:pStyle w:val="18"/>
              <w:snapToGrid w:val="0"/>
              <w:jc w:val="center"/>
              <w:rPr>
                <w:rFonts w:hint="eastAsia" w:ascii="宋体" w:hAnsi="宋体" w:eastAsia="宋体" w:cs="宋体"/>
                <w:sz w:val="22"/>
              </w:rPr>
            </w:pPr>
            <w:r>
              <w:rPr>
                <w:rFonts w:hint="eastAsia" w:ascii="宋体" w:hAnsi="宋体" w:eastAsia="宋体" w:cs="宋体"/>
                <w:sz w:val="22"/>
              </w:rPr>
              <w:t>31-45 岁</w:t>
            </w:r>
          </w:p>
        </w:tc>
        <w:tc>
          <w:tcPr>
            <w:tcW w:w="1156" w:type="dxa"/>
            <w:tcBorders>
              <w:top w:val="nil"/>
              <w:left w:val="nil"/>
              <w:bottom w:val="nil"/>
              <w:right w:val="nil"/>
            </w:tcBorders>
            <w:vAlign w:val="center"/>
          </w:tcPr>
          <w:p w14:paraId="4DC2B488">
            <w:pPr>
              <w:pStyle w:val="18"/>
              <w:snapToGrid w:val="0"/>
              <w:jc w:val="center"/>
              <w:rPr>
                <w:rFonts w:hint="eastAsia" w:ascii="宋体" w:hAnsi="宋体" w:eastAsia="宋体" w:cs="宋体"/>
                <w:sz w:val="22"/>
              </w:rPr>
            </w:pPr>
            <w:r>
              <w:rPr>
                <w:rFonts w:hint="eastAsia" w:ascii="宋体" w:hAnsi="宋体" w:eastAsia="宋体" w:cs="宋体"/>
                <w:sz w:val="22"/>
              </w:rPr>
              <w:t>66</w:t>
            </w:r>
          </w:p>
        </w:tc>
        <w:tc>
          <w:tcPr>
            <w:tcW w:w="1718" w:type="dxa"/>
            <w:tcBorders>
              <w:top w:val="nil"/>
              <w:left w:val="nil"/>
              <w:bottom w:val="nil"/>
              <w:right w:val="nil"/>
            </w:tcBorders>
            <w:vAlign w:val="center"/>
          </w:tcPr>
          <w:p w14:paraId="2341505E">
            <w:pPr>
              <w:pStyle w:val="18"/>
              <w:snapToGrid w:val="0"/>
              <w:jc w:val="center"/>
              <w:rPr>
                <w:rFonts w:hint="eastAsia" w:ascii="宋体" w:hAnsi="宋体" w:eastAsia="宋体" w:cs="宋体"/>
                <w:sz w:val="22"/>
              </w:rPr>
            </w:pPr>
            <w:r>
              <w:rPr>
                <w:rFonts w:hint="eastAsia" w:ascii="宋体" w:hAnsi="宋体" w:eastAsia="宋体" w:cs="宋体"/>
                <w:sz w:val="22"/>
              </w:rPr>
              <w:t>31.28%</w:t>
            </w:r>
          </w:p>
        </w:tc>
      </w:tr>
      <w:tr w14:paraId="60D1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120A1250">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0E83100A">
            <w:pPr>
              <w:pStyle w:val="18"/>
              <w:snapToGrid w:val="0"/>
              <w:jc w:val="center"/>
              <w:rPr>
                <w:rFonts w:hint="eastAsia" w:ascii="宋体" w:hAnsi="宋体" w:eastAsia="宋体" w:cs="宋体"/>
                <w:sz w:val="22"/>
              </w:rPr>
            </w:pPr>
            <w:r>
              <w:rPr>
                <w:rFonts w:hint="eastAsia" w:ascii="宋体" w:hAnsi="宋体" w:eastAsia="宋体" w:cs="宋体"/>
                <w:sz w:val="22"/>
              </w:rPr>
              <w:t>46-60 岁</w:t>
            </w:r>
          </w:p>
        </w:tc>
        <w:tc>
          <w:tcPr>
            <w:tcW w:w="1156" w:type="dxa"/>
            <w:tcBorders>
              <w:top w:val="nil"/>
              <w:left w:val="nil"/>
              <w:bottom w:val="nil"/>
              <w:right w:val="nil"/>
            </w:tcBorders>
            <w:vAlign w:val="center"/>
          </w:tcPr>
          <w:p w14:paraId="48AAFE1E">
            <w:pPr>
              <w:pStyle w:val="18"/>
              <w:snapToGrid w:val="0"/>
              <w:jc w:val="center"/>
              <w:rPr>
                <w:rFonts w:hint="eastAsia" w:ascii="宋体" w:hAnsi="宋体" w:eastAsia="宋体" w:cs="宋体"/>
                <w:sz w:val="22"/>
              </w:rPr>
            </w:pPr>
            <w:r>
              <w:rPr>
                <w:rFonts w:hint="eastAsia" w:ascii="宋体" w:hAnsi="宋体" w:eastAsia="宋体" w:cs="宋体"/>
                <w:sz w:val="22"/>
              </w:rPr>
              <w:t>20</w:t>
            </w:r>
          </w:p>
        </w:tc>
        <w:tc>
          <w:tcPr>
            <w:tcW w:w="1718" w:type="dxa"/>
            <w:tcBorders>
              <w:top w:val="nil"/>
              <w:left w:val="nil"/>
              <w:bottom w:val="nil"/>
              <w:right w:val="nil"/>
            </w:tcBorders>
            <w:vAlign w:val="center"/>
          </w:tcPr>
          <w:p w14:paraId="22B4336F">
            <w:pPr>
              <w:pStyle w:val="18"/>
              <w:snapToGrid w:val="0"/>
              <w:jc w:val="center"/>
              <w:rPr>
                <w:rFonts w:hint="eastAsia" w:ascii="宋体" w:hAnsi="宋体" w:eastAsia="宋体" w:cs="宋体"/>
                <w:sz w:val="22"/>
              </w:rPr>
            </w:pPr>
            <w:r>
              <w:rPr>
                <w:rFonts w:hint="eastAsia" w:ascii="宋体" w:hAnsi="宋体" w:eastAsia="宋体" w:cs="宋体"/>
                <w:sz w:val="22"/>
              </w:rPr>
              <w:t>9.48%</w:t>
            </w:r>
          </w:p>
        </w:tc>
      </w:tr>
      <w:tr w14:paraId="156A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20F521BF">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5A2E0C25">
            <w:pPr>
              <w:pStyle w:val="18"/>
              <w:snapToGrid w:val="0"/>
              <w:jc w:val="center"/>
              <w:rPr>
                <w:rFonts w:hint="eastAsia" w:ascii="宋体" w:hAnsi="宋体" w:eastAsia="宋体" w:cs="宋体"/>
                <w:sz w:val="22"/>
              </w:rPr>
            </w:pPr>
            <w:r>
              <w:rPr>
                <w:rFonts w:hint="eastAsia" w:ascii="宋体" w:hAnsi="宋体" w:eastAsia="宋体" w:cs="宋体"/>
                <w:sz w:val="22"/>
              </w:rPr>
              <w:t>61 岁及以上</w:t>
            </w:r>
          </w:p>
        </w:tc>
        <w:tc>
          <w:tcPr>
            <w:tcW w:w="1156" w:type="dxa"/>
            <w:tcBorders>
              <w:top w:val="nil"/>
              <w:left w:val="nil"/>
              <w:bottom w:val="nil"/>
              <w:right w:val="nil"/>
            </w:tcBorders>
            <w:vAlign w:val="center"/>
          </w:tcPr>
          <w:p w14:paraId="764DE1E1">
            <w:pPr>
              <w:pStyle w:val="18"/>
              <w:snapToGrid w:val="0"/>
              <w:jc w:val="center"/>
              <w:rPr>
                <w:rFonts w:hint="eastAsia" w:ascii="宋体" w:hAnsi="宋体" w:eastAsia="宋体" w:cs="宋体"/>
                <w:sz w:val="22"/>
              </w:rPr>
            </w:pPr>
            <w:r>
              <w:rPr>
                <w:rFonts w:hint="eastAsia" w:ascii="宋体" w:hAnsi="宋体" w:eastAsia="宋体" w:cs="宋体"/>
                <w:sz w:val="22"/>
              </w:rPr>
              <w:t>4</w:t>
            </w:r>
          </w:p>
        </w:tc>
        <w:tc>
          <w:tcPr>
            <w:tcW w:w="1718" w:type="dxa"/>
            <w:tcBorders>
              <w:top w:val="nil"/>
              <w:left w:val="nil"/>
              <w:bottom w:val="nil"/>
              <w:right w:val="nil"/>
            </w:tcBorders>
            <w:vAlign w:val="center"/>
          </w:tcPr>
          <w:p w14:paraId="37785A01">
            <w:pPr>
              <w:pStyle w:val="18"/>
              <w:snapToGrid w:val="0"/>
              <w:jc w:val="center"/>
              <w:rPr>
                <w:rFonts w:hint="eastAsia" w:ascii="宋体" w:hAnsi="宋体" w:eastAsia="宋体" w:cs="宋体"/>
                <w:sz w:val="22"/>
              </w:rPr>
            </w:pPr>
            <w:r>
              <w:rPr>
                <w:rFonts w:hint="eastAsia" w:ascii="宋体" w:hAnsi="宋体" w:eastAsia="宋体" w:cs="宋体"/>
                <w:sz w:val="22"/>
              </w:rPr>
              <w:t>1.90%</w:t>
            </w:r>
          </w:p>
        </w:tc>
      </w:tr>
      <w:tr w14:paraId="168C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0F1E2C51">
            <w:pPr>
              <w:pStyle w:val="18"/>
              <w:snapToGrid w:val="0"/>
              <w:jc w:val="center"/>
              <w:rPr>
                <w:rFonts w:hint="eastAsia" w:ascii="宋体" w:hAnsi="宋体" w:eastAsia="宋体" w:cs="宋体"/>
                <w:sz w:val="22"/>
              </w:rPr>
            </w:pPr>
            <w:r>
              <w:rPr>
                <w:rFonts w:hint="eastAsia" w:ascii="宋体" w:hAnsi="宋体" w:eastAsia="宋体" w:cs="宋体"/>
                <w:sz w:val="22"/>
              </w:rPr>
              <w:t>食品采购角色</w:t>
            </w:r>
          </w:p>
        </w:tc>
        <w:tc>
          <w:tcPr>
            <w:tcW w:w="3574" w:type="dxa"/>
            <w:tcBorders>
              <w:top w:val="nil"/>
              <w:left w:val="nil"/>
              <w:bottom w:val="nil"/>
              <w:right w:val="nil"/>
            </w:tcBorders>
            <w:vAlign w:val="center"/>
          </w:tcPr>
          <w:p w14:paraId="58875F47">
            <w:pPr>
              <w:pStyle w:val="18"/>
              <w:snapToGrid w:val="0"/>
              <w:jc w:val="center"/>
              <w:rPr>
                <w:rFonts w:hint="eastAsia" w:ascii="宋体" w:hAnsi="宋体" w:eastAsia="宋体" w:cs="宋体"/>
                <w:sz w:val="22"/>
              </w:rPr>
            </w:pPr>
            <w:r>
              <w:rPr>
                <w:rFonts w:hint="eastAsia" w:ascii="宋体" w:hAnsi="宋体" w:eastAsia="宋体" w:cs="宋体"/>
                <w:sz w:val="22"/>
              </w:rPr>
              <w:t>是（主要采购者）</w:t>
            </w:r>
          </w:p>
        </w:tc>
        <w:tc>
          <w:tcPr>
            <w:tcW w:w="1156" w:type="dxa"/>
            <w:tcBorders>
              <w:top w:val="nil"/>
              <w:left w:val="nil"/>
              <w:bottom w:val="nil"/>
              <w:right w:val="nil"/>
            </w:tcBorders>
            <w:vAlign w:val="center"/>
          </w:tcPr>
          <w:p w14:paraId="42AEAFAC">
            <w:pPr>
              <w:pStyle w:val="18"/>
              <w:snapToGrid w:val="0"/>
              <w:jc w:val="center"/>
              <w:rPr>
                <w:rFonts w:hint="eastAsia" w:ascii="宋体" w:hAnsi="宋体" w:eastAsia="宋体" w:cs="宋体"/>
                <w:sz w:val="22"/>
              </w:rPr>
            </w:pPr>
            <w:r>
              <w:rPr>
                <w:rFonts w:hint="eastAsia" w:ascii="宋体" w:hAnsi="宋体" w:eastAsia="宋体" w:cs="宋体"/>
                <w:sz w:val="22"/>
              </w:rPr>
              <w:t>105</w:t>
            </w:r>
          </w:p>
        </w:tc>
        <w:tc>
          <w:tcPr>
            <w:tcW w:w="1718" w:type="dxa"/>
            <w:tcBorders>
              <w:top w:val="nil"/>
              <w:left w:val="nil"/>
              <w:bottom w:val="nil"/>
              <w:right w:val="nil"/>
            </w:tcBorders>
            <w:vAlign w:val="center"/>
          </w:tcPr>
          <w:p w14:paraId="05822DE2">
            <w:pPr>
              <w:pStyle w:val="18"/>
              <w:snapToGrid w:val="0"/>
              <w:jc w:val="center"/>
              <w:rPr>
                <w:rFonts w:hint="eastAsia" w:ascii="宋体" w:hAnsi="宋体" w:eastAsia="宋体" w:cs="宋体"/>
                <w:sz w:val="22"/>
              </w:rPr>
            </w:pPr>
            <w:r>
              <w:rPr>
                <w:rFonts w:hint="eastAsia" w:ascii="宋体" w:hAnsi="宋体" w:eastAsia="宋体" w:cs="宋体"/>
                <w:sz w:val="22"/>
              </w:rPr>
              <w:t>49.76%</w:t>
            </w:r>
          </w:p>
        </w:tc>
      </w:tr>
      <w:tr w14:paraId="6D0B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nil"/>
              <w:right w:val="nil"/>
            </w:tcBorders>
            <w:vAlign w:val="center"/>
          </w:tcPr>
          <w:p w14:paraId="15F7F67E">
            <w:pPr>
              <w:pStyle w:val="18"/>
              <w:snapToGrid w:val="0"/>
              <w:jc w:val="center"/>
              <w:rPr>
                <w:rFonts w:hint="eastAsia" w:ascii="宋体" w:hAnsi="宋体" w:eastAsia="宋体" w:cs="宋体"/>
                <w:sz w:val="22"/>
              </w:rPr>
            </w:pPr>
          </w:p>
        </w:tc>
        <w:tc>
          <w:tcPr>
            <w:tcW w:w="3574" w:type="dxa"/>
            <w:tcBorders>
              <w:top w:val="nil"/>
              <w:left w:val="nil"/>
              <w:bottom w:val="nil"/>
              <w:right w:val="nil"/>
            </w:tcBorders>
            <w:vAlign w:val="center"/>
          </w:tcPr>
          <w:p w14:paraId="4A90BEFF">
            <w:pPr>
              <w:pStyle w:val="18"/>
              <w:snapToGrid w:val="0"/>
              <w:jc w:val="center"/>
              <w:rPr>
                <w:rFonts w:hint="eastAsia" w:ascii="宋体" w:hAnsi="宋体" w:eastAsia="宋体" w:cs="宋体"/>
                <w:sz w:val="22"/>
              </w:rPr>
            </w:pPr>
            <w:r>
              <w:rPr>
                <w:rFonts w:hint="eastAsia" w:ascii="宋体" w:hAnsi="宋体" w:eastAsia="宋体" w:cs="宋体"/>
                <w:sz w:val="22"/>
              </w:rPr>
              <w:t>是（偶尔采购者）</w:t>
            </w:r>
          </w:p>
        </w:tc>
        <w:tc>
          <w:tcPr>
            <w:tcW w:w="1156" w:type="dxa"/>
            <w:tcBorders>
              <w:top w:val="nil"/>
              <w:left w:val="nil"/>
              <w:bottom w:val="nil"/>
              <w:right w:val="nil"/>
            </w:tcBorders>
            <w:vAlign w:val="center"/>
          </w:tcPr>
          <w:p w14:paraId="63CFDCE7">
            <w:pPr>
              <w:pStyle w:val="18"/>
              <w:snapToGrid w:val="0"/>
              <w:jc w:val="center"/>
              <w:rPr>
                <w:rFonts w:hint="eastAsia" w:ascii="宋体" w:hAnsi="宋体" w:eastAsia="宋体" w:cs="宋体"/>
                <w:sz w:val="22"/>
              </w:rPr>
            </w:pPr>
            <w:r>
              <w:rPr>
                <w:rFonts w:hint="eastAsia" w:ascii="宋体" w:hAnsi="宋体" w:eastAsia="宋体" w:cs="宋体"/>
                <w:sz w:val="22"/>
              </w:rPr>
              <w:t>83</w:t>
            </w:r>
          </w:p>
        </w:tc>
        <w:tc>
          <w:tcPr>
            <w:tcW w:w="1718" w:type="dxa"/>
            <w:tcBorders>
              <w:top w:val="nil"/>
              <w:left w:val="nil"/>
              <w:bottom w:val="nil"/>
              <w:right w:val="nil"/>
            </w:tcBorders>
            <w:vAlign w:val="center"/>
          </w:tcPr>
          <w:p w14:paraId="6D8BA4C5">
            <w:pPr>
              <w:pStyle w:val="18"/>
              <w:snapToGrid w:val="0"/>
              <w:jc w:val="center"/>
              <w:rPr>
                <w:rFonts w:hint="eastAsia" w:ascii="宋体" w:hAnsi="宋体" w:eastAsia="宋体" w:cs="宋体"/>
                <w:sz w:val="22"/>
              </w:rPr>
            </w:pPr>
            <w:r>
              <w:rPr>
                <w:rFonts w:hint="eastAsia" w:ascii="宋体" w:hAnsi="宋体" w:eastAsia="宋体" w:cs="宋体"/>
                <w:sz w:val="22"/>
              </w:rPr>
              <w:t>39.34%</w:t>
            </w:r>
          </w:p>
        </w:tc>
      </w:tr>
      <w:tr w14:paraId="4A03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766" w:type="dxa"/>
            <w:tcBorders>
              <w:top w:val="nil"/>
              <w:left w:val="nil"/>
              <w:bottom w:val="single" w:color="auto" w:sz="12" w:space="0"/>
              <w:right w:val="nil"/>
            </w:tcBorders>
            <w:vAlign w:val="center"/>
          </w:tcPr>
          <w:p w14:paraId="4CA994E4">
            <w:pPr>
              <w:pStyle w:val="18"/>
              <w:snapToGrid w:val="0"/>
              <w:jc w:val="center"/>
              <w:rPr>
                <w:rFonts w:hint="eastAsia" w:ascii="宋体" w:hAnsi="宋体" w:eastAsia="宋体" w:cs="宋体"/>
                <w:sz w:val="22"/>
              </w:rPr>
            </w:pPr>
          </w:p>
        </w:tc>
        <w:tc>
          <w:tcPr>
            <w:tcW w:w="3574" w:type="dxa"/>
            <w:tcBorders>
              <w:top w:val="nil"/>
              <w:left w:val="nil"/>
              <w:bottom w:val="single" w:color="auto" w:sz="12" w:space="0"/>
              <w:right w:val="nil"/>
            </w:tcBorders>
            <w:vAlign w:val="center"/>
          </w:tcPr>
          <w:p w14:paraId="5493C0E7">
            <w:pPr>
              <w:pStyle w:val="18"/>
              <w:snapToGrid w:val="0"/>
              <w:jc w:val="center"/>
              <w:rPr>
                <w:rFonts w:hint="eastAsia" w:ascii="宋体" w:hAnsi="宋体" w:eastAsia="宋体" w:cs="宋体"/>
                <w:sz w:val="22"/>
              </w:rPr>
            </w:pPr>
            <w:r>
              <w:rPr>
                <w:rFonts w:hint="eastAsia" w:ascii="宋体" w:hAnsi="宋体" w:eastAsia="宋体" w:cs="宋体"/>
                <w:sz w:val="22"/>
              </w:rPr>
              <w:t>否</w:t>
            </w:r>
          </w:p>
        </w:tc>
        <w:tc>
          <w:tcPr>
            <w:tcW w:w="1156" w:type="dxa"/>
            <w:tcBorders>
              <w:top w:val="nil"/>
              <w:left w:val="nil"/>
              <w:bottom w:val="single" w:color="auto" w:sz="12" w:space="0"/>
              <w:right w:val="nil"/>
            </w:tcBorders>
            <w:vAlign w:val="center"/>
          </w:tcPr>
          <w:p w14:paraId="1FBBE8CC">
            <w:pPr>
              <w:pStyle w:val="18"/>
              <w:snapToGrid w:val="0"/>
              <w:jc w:val="center"/>
              <w:rPr>
                <w:rFonts w:hint="eastAsia" w:ascii="宋体" w:hAnsi="宋体" w:eastAsia="宋体" w:cs="宋体"/>
                <w:sz w:val="22"/>
              </w:rPr>
            </w:pPr>
            <w:r>
              <w:rPr>
                <w:rFonts w:hint="eastAsia" w:ascii="宋体" w:hAnsi="宋体" w:eastAsia="宋体" w:cs="宋体"/>
                <w:sz w:val="22"/>
              </w:rPr>
              <w:t>23</w:t>
            </w:r>
          </w:p>
        </w:tc>
        <w:tc>
          <w:tcPr>
            <w:tcW w:w="1718" w:type="dxa"/>
            <w:tcBorders>
              <w:top w:val="nil"/>
              <w:left w:val="nil"/>
              <w:bottom w:val="single" w:color="auto" w:sz="12" w:space="0"/>
              <w:right w:val="nil"/>
            </w:tcBorders>
            <w:vAlign w:val="center"/>
          </w:tcPr>
          <w:p w14:paraId="5F83E484">
            <w:pPr>
              <w:pStyle w:val="18"/>
              <w:snapToGrid w:val="0"/>
              <w:jc w:val="center"/>
              <w:rPr>
                <w:rFonts w:hint="eastAsia" w:ascii="宋体" w:hAnsi="宋体" w:eastAsia="宋体" w:cs="宋体"/>
                <w:sz w:val="22"/>
              </w:rPr>
            </w:pPr>
            <w:r>
              <w:rPr>
                <w:rFonts w:hint="eastAsia" w:ascii="宋体" w:hAnsi="宋体" w:eastAsia="宋体" w:cs="宋体"/>
                <w:sz w:val="22"/>
              </w:rPr>
              <w:t>10.90%</w:t>
            </w:r>
          </w:p>
        </w:tc>
      </w:tr>
    </w:tbl>
    <w:p w14:paraId="18974E25">
      <w:pPr>
        <w:pStyle w:val="4"/>
        <w:ind w:left="0" w:leftChars="0"/>
        <w:outlineLvl w:val="1"/>
        <w:rPr>
          <w:rFonts w:hint="eastAsia" w:ascii="黑体" w:hAnsi="黑体" w:eastAsia="黑体" w:cs="黑体"/>
          <w:b/>
          <w:bCs/>
          <w:sz w:val="30"/>
          <w:szCs w:val="30"/>
          <w:lang w:val="en-US" w:eastAsia="zh-CN"/>
        </w:rPr>
      </w:pPr>
      <w:bookmarkStart w:id="9" w:name="_Toc9887"/>
      <w:r>
        <w:rPr>
          <w:rFonts w:hint="eastAsia" w:ascii="黑体" w:hAnsi="黑体" w:eastAsia="黑体" w:cs="黑体"/>
          <w:b/>
          <w:bCs/>
          <w:sz w:val="30"/>
          <w:szCs w:val="30"/>
          <w:lang w:val="en-US" w:eastAsia="zh-CN"/>
        </w:rPr>
        <w:t>4.2 社区居民食品安全认知与问题处理现状</w:t>
      </w:r>
      <w:bookmarkEnd w:id="9"/>
    </w:p>
    <w:p w14:paraId="000AFC72">
      <w:pPr>
        <w:pStyle w:val="4"/>
        <w:ind w:left="0" w:leftChars="0"/>
        <w:outlineLvl w:val="1"/>
        <w:rPr>
          <w:rFonts w:hint="eastAsia" w:ascii="黑体" w:hAnsi="黑体" w:eastAsia="黑体" w:cs="黑体"/>
          <w:b/>
          <w:bCs/>
          <w:sz w:val="30"/>
          <w:szCs w:val="30"/>
          <w:lang w:val="en-US" w:eastAsia="zh-CN"/>
        </w:rPr>
      </w:pPr>
      <w:bookmarkStart w:id="10" w:name="_Toc11202"/>
      <w:r>
        <w:rPr>
          <w:rFonts w:hint="eastAsia" w:ascii="黑体" w:hAnsi="黑体" w:eastAsia="黑体" w:cs="黑体"/>
          <w:b/>
          <w:bCs/>
          <w:sz w:val="30"/>
          <w:szCs w:val="30"/>
          <w:lang w:val="en-US" w:eastAsia="zh-CN"/>
        </w:rPr>
        <w:t>4.2.1食品标签认知水平维度</w:t>
      </w:r>
      <w:bookmarkEnd w:id="10"/>
    </w:p>
    <w:p w14:paraId="311E5C69">
      <w:pPr>
        <w:pStyle w:val="18"/>
        <w:rPr>
          <w:rFonts w:hint="eastAsia" w:ascii="宋体" w:hAnsi="宋体" w:eastAsia="宋体" w:cs="宋体"/>
          <w:sz w:val="24"/>
          <w:szCs w:val="24"/>
        </w:rPr>
      </w:pPr>
      <w:r>
        <w:rPr>
          <w:rFonts w:hint="eastAsia" w:ascii="宋体" w:hAnsi="宋体" w:eastAsia="宋体" w:cs="宋体"/>
          <w:sz w:val="24"/>
          <w:szCs w:val="24"/>
        </w:rPr>
        <w:t>居民对食品标签核心信息的知晓率存在明显差异，</w:t>
      </w:r>
      <w:r>
        <w:rPr>
          <w:rFonts w:hint="eastAsia" w:ascii="宋体" w:hAnsi="宋体" w:eastAsia="宋体" w:cs="宋体"/>
          <w:b/>
          <w:bCs/>
          <w:sz w:val="24"/>
          <w:szCs w:val="24"/>
        </w:rPr>
        <w:t>基础安全信息认知较足，但细节信息薄弱</w:t>
      </w:r>
      <w:r>
        <w:rPr>
          <w:rFonts w:hint="eastAsia" w:ascii="宋体" w:hAnsi="宋体" w:eastAsia="宋体" w:cs="宋体"/>
          <w:sz w:val="24"/>
          <w:szCs w:val="24"/>
        </w:rPr>
        <w:t>：</w:t>
      </w:r>
    </w:p>
    <w:p w14:paraId="1E964400">
      <w:pPr>
        <w:pStyle w:val="18"/>
        <w:numPr>
          <w:ilvl w:val="0"/>
          <w:numId w:val="3"/>
        </w:numPr>
        <w:rPr>
          <w:rFonts w:hint="eastAsia" w:ascii="宋体" w:hAnsi="宋体" w:eastAsia="宋体" w:cs="宋体"/>
          <w:sz w:val="24"/>
          <w:szCs w:val="24"/>
        </w:rPr>
      </w:pPr>
      <w:r>
        <w:rPr>
          <w:rFonts w:hint="eastAsia" w:ascii="宋体" w:hAnsi="宋体" w:eastAsia="宋体" w:cs="宋体"/>
          <w:sz w:val="24"/>
          <w:szCs w:val="24"/>
        </w:rPr>
        <w:t>知晓率最高：生产日期和保质期（171 人，81.04%），是居民最关注的标签信息；</w:t>
      </w:r>
    </w:p>
    <w:p w14:paraId="70462DAA">
      <w:pPr>
        <w:pStyle w:val="18"/>
        <w:numPr>
          <w:ilvl w:val="0"/>
          <w:numId w:val="3"/>
        </w:numPr>
        <w:rPr>
          <w:rFonts w:hint="eastAsia" w:ascii="宋体" w:hAnsi="宋体" w:eastAsia="宋体" w:cs="宋体"/>
          <w:sz w:val="24"/>
          <w:szCs w:val="24"/>
        </w:rPr>
      </w:pPr>
      <w:r>
        <w:rPr>
          <w:rFonts w:hint="eastAsia" w:ascii="宋体" w:hAnsi="宋体" w:eastAsia="宋体" w:cs="宋体"/>
          <w:sz w:val="24"/>
          <w:szCs w:val="24"/>
        </w:rPr>
        <w:t>知晓率中等：食品原料成分表（154 人，72.99%</w:t>
      </w:r>
      <w:r>
        <w:rPr>
          <w:rFonts w:hint="eastAsia" w:ascii="宋体" w:hAnsi="宋体" w:eastAsia="宋体" w:cs="宋体"/>
          <w:sz w:val="24"/>
          <w:szCs w:val="24"/>
          <w:lang w:eastAsia="zh-CN"/>
        </w:rPr>
        <w:t>）</w:t>
      </w:r>
      <w:r>
        <w:rPr>
          <w:rFonts w:hint="eastAsia" w:ascii="宋体" w:hAnsi="宋体" w:eastAsia="宋体" w:cs="宋体"/>
          <w:sz w:val="24"/>
          <w:szCs w:val="24"/>
        </w:rPr>
        <w:t>、生产经营者信息（147 人，69.67%）；</w:t>
      </w:r>
    </w:p>
    <w:p w14:paraId="6553A093">
      <w:pPr>
        <w:pStyle w:val="18"/>
        <w:numPr>
          <w:ilvl w:val="0"/>
          <w:numId w:val="3"/>
        </w:numPr>
        <w:rPr>
          <w:rFonts w:hint="eastAsia" w:ascii="宋体" w:hAnsi="宋体" w:eastAsia="宋体" w:cs="宋体"/>
          <w:sz w:val="24"/>
          <w:szCs w:val="24"/>
        </w:rPr>
      </w:pPr>
      <w:r>
        <w:rPr>
          <w:rFonts w:hint="eastAsia" w:ascii="宋体" w:hAnsi="宋体" w:eastAsia="宋体" w:cs="宋体"/>
          <w:sz w:val="24"/>
          <w:szCs w:val="24"/>
        </w:rPr>
        <w:t>知晓率最低：食品的生产批号（93 人，44.08%），超半数居民忽视该追溯关键信息。</w:t>
      </w:r>
    </w:p>
    <w:p w14:paraId="370B482A">
      <w:pPr>
        <w:pStyle w:val="18"/>
        <w:numPr>
          <w:ilvl w:val="0"/>
          <w:numId w:val="0"/>
        </w:numPr>
        <w:ind w:leftChars="0"/>
        <w:rPr>
          <w:rFonts w:hint="eastAsia" w:ascii="宋体" w:hAnsi="宋体" w:eastAsia="宋体" w:cs="宋体"/>
        </w:rPr>
      </w:pPr>
      <w:r>
        <w:rPr>
          <w:rFonts w:hint="eastAsia" w:ascii="宋体" w:hAnsi="宋体" w:eastAsia="宋体" w:cs="宋体"/>
          <w:sz w:val="24"/>
          <w:szCs w:val="24"/>
        </w:rPr>
        <w:drawing>
          <wp:inline distT="0" distB="0" distL="114300" distR="114300">
            <wp:extent cx="5535930" cy="308991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t="5183"/>
                    <a:stretch>
                      <a:fillRect/>
                    </a:stretch>
                  </pic:blipFill>
                  <pic:spPr>
                    <a:xfrm>
                      <a:off x="0" y="0"/>
                      <a:ext cx="5535930" cy="3089910"/>
                    </a:xfrm>
                    <a:prstGeom prst="rect">
                      <a:avLst/>
                    </a:prstGeom>
                    <a:noFill/>
                    <a:ln w="9525">
                      <a:noFill/>
                    </a:ln>
                  </pic:spPr>
                </pic:pic>
              </a:graphicData>
            </a:graphic>
          </wp:inline>
        </w:drawing>
      </w:r>
    </w:p>
    <w:p w14:paraId="244DF260">
      <w:pPr>
        <w:pStyle w:val="18"/>
        <w:numPr>
          <w:ilvl w:val="0"/>
          <w:numId w:val="0"/>
        </w:numPr>
        <w:ind w:left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 4-2 标签信息知晓比例条形图</w:t>
      </w:r>
    </w:p>
    <w:p w14:paraId="66CE482B">
      <w:pPr>
        <w:pStyle w:val="18"/>
        <w:rPr>
          <w:rFonts w:hint="eastAsia" w:ascii="宋体" w:hAnsi="宋体" w:eastAsia="宋体" w:cs="宋体"/>
          <w:i/>
          <w:iCs/>
        </w:rPr>
      </w:pPr>
    </w:p>
    <w:p w14:paraId="221D9BAC">
      <w:pPr>
        <w:pStyle w:val="18"/>
        <w:rPr>
          <w:rFonts w:hint="eastAsia" w:ascii="宋体" w:hAnsi="宋体" w:eastAsia="宋体" w:cs="宋体"/>
          <w:i/>
          <w:iCs/>
        </w:rPr>
      </w:pPr>
    </w:p>
    <w:p w14:paraId="50FF5960">
      <w:pPr>
        <w:pStyle w:val="18"/>
        <w:rPr>
          <w:rFonts w:hint="eastAsia" w:ascii="宋体" w:hAnsi="宋体" w:eastAsia="宋体" w:cs="宋体"/>
          <w:i/>
          <w:iCs/>
        </w:rPr>
      </w:pPr>
    </w:p>
    <w:p w14:paraId="3D44A2EE">
      <w:pPr>
        <w:pStyle w:val="18"/>
        <w:rPr>
          <w:rFonts w:hint="eastAsia" w:ascii="宋体" w:hAnsi="宋体" w:eastAsia="宋体" w:cs="宋体"/>
          <w:i/>
          <w:iCs/>
        </w:rPr>
      </w:pPr>
    </w:p>
    <w:p w14:paraId="171105C7">
      <w:pPr>
        <w:pStyle w:val="4"/>
        <w:ind w:left="0" w:leftChars="0"/>
        <w:outlineLvl w:val="1"/>
        <w:rPr>
          <w:rFonts w:hint="eastAsia" w:ascii="黑体" w:hAnsi="黑体" w:eastAsia="黑体" w:cs="黑体"/>
          <w:b/>
          <w:bCs/>
          <w:sz w:val="30"/>
          <w:szCs w:val="30"/>
          <w:lang w:val="en-US" w:eastAsia="zh-CN"/>
        </w:rPr>
      </w:pPr>
      <w:bookmarkStart w:id="11" w:name="_Toc71"/>
      <w:r>
        <w:rPr>
          <w:rFonts w:hint="eastAsia" w:ascii="黑体" w:hAnsi="黑体" w:eastAsia="黑体" w:cs="黑体"/>
          <w:b/>
          <w:bCs/>
          <w:sz w:val="30"/>
          <w:szCs w:val="30"/>
          <w:lang w:val="en-US" w:eastAsia="zh-CN"/>
        </w:rPr>
        <w:t>4.2.2食品购买优先关注维度</w:t>
      </w:r>
      <w:bookmarkEnd w:id="11"/>
    </w:p>
    <w:p w14:paraId="12F60535">
      <w:pPr>
        <w:pStyle w:val="18"/>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问卷中</w:t>
      </w:r>
      <w:r>
        <w:rPr>
          <w:rFonts w:hint="eastAsia" w:ascii="宋体" w:hAnsi="宋体" w:eastAsia="宋体" w:cs="宋体"/>
          <w:sz w:val="24"/>
          <w:szCs w:val="24"/>
        </w:rPr>
        <w:t>，</w:t>
      </w:r>
      <w:r>
        <w:rPr>
          <w:rFonts w:hint="eastAsia" w:ascii="宋体" w:hAnsi="宋体" w:eastAsia="宋体" w:cs="宋体"/>
          <w:sz w:val="24"/>
          <w:szCs w:val="24"/>
          <w:lang w:val="en-US" w:eastAsia="zh-CN"/>
        </w:rPr>
        <w:t>参与者通过将</w:t>
      </w:r>
      <w:r>
        <w:rPr>
          <w:rFonts w:hint="eastAsia" w:ascii="宋体" w:hAnsi="宋体" w:eastAsia="宋体" w:cs="宋体"/>
          <w:sz w:val="24"/>
          <w:szCs w:val="24"/>
        </w:rPr>
        <w:t>生产日期和保质期</w:t>
      </w:r>
      <w:r>
        <w:rPr>
          <w:rFonts w:hint="eastAsia" w:ascii="宋体" w:hAnsi="宋体" w:eastAsia="宋体" w:cs="宋体"/>
          <w:sz w:val="24"/>
          <w:szCs w:val="24"/>
          <w:lang w:eastAsia="zh-CN"/>
        </w:rPr>
        <w:t>、</w:t>
      </w:r>
      <w:r>
        <w:rPr>
          <w:rFonts w:hint="eastAsia" w:ascii="宋体" w:hAnsi="宋体" w:eastAsia="宋体" w:cs="宋体"/>
          <w:sz w:val="24"/>
          <w:szCs w:val="24"/>
        </w:rPr>
        <w:t>配料表</w:t>
      </w:r>
      <w:r>
        <w:rPr>
          <w:rFonts w:hint="eastAsia" w:ascii="宋体" w:hAnsi="宋体" w:eastAsia="宋体" w:cs="宋体"/>
          <w:sz w:val="24"/>
          <w:szCs w:val="24"/>
          <w:lang w:eastAsia="zh-CN"/>
        </w:rPr>
        <w:t>、</w:t>
      </w:r>
      <w:r>
        <w:rPr>
          <w:rFonts w:hint="eastAsia" w:ascii="宋体" w:hAnsi="宋体" w:eastAsia="宋体" w:cs="宋体"/>
          <w:sz w:val="24"/>
          <w:szCs w:val="24"/>
        </w:rPr>
        <w:t>营养成分表</w:t>
      </w:r>
      <w:r>
        <w:rPr>
          <w:rFonts w:hint="eastAsia" w:ascii="宋体" w:hAnsi="宋体" w:eastAsia="宋体" w:cs="宋体"/>
          <w:sz w:val="24"/>
          <w:szCs w:val="24"/>
          <w:lang w:eastAsia="zh-CN"/>
        </w:rPr>
        <w:t>、</w:t>
      </w:r>
      <w:r>
        <w:rPr>
          <w:rFonts w:hint="eastAsia" w:ascii="宋体" w:hAnsi="宋体" w:eastAsia="宋体" w:cs="宋体"/>
          <w:sz w:val="24"/>
          <w:szCs w:val="24"/>
        </w:rPr>
        <w:t>品牌知名度</w:t>
      </w:r>
      <w:r>
        <w:rPr>
          <w:rFonts w:hint="eastAsia" w:ascii="宋体" w:hAnsi="宋体" w:eastAsia="宋体" w:cs="宋体"/>
          <w:sz w:val="24"/>
          <w:szCs w:val="24"/>
          <w:lang w:eastAsia="zh-CN"/>
        </w:rPr>
        <w:t>、</w:t>
      </w:r>
      <w:r>
        <w:rPr>
          <w:rFonts w:hint="eastAsia" w:ascii="宋体" w:hAnsi="宋体" w:eastAsia="宋体" w:cs="宋体"/>
          <w:sz w:val="24"/>
          <w:szCs w:val="24"/>
        </w:rPr>
        <w:t>价格</w:t>
      </w:r>
      <w:r>
        <w:rPr>
          <w:rFonts w:hint="eastAsia" w:ascii="宋体" w:hAnsi="宋体" w:eastAsia="宋体" w:cs="宋体"/>
          <w:sz w:val="24"/>
          <w:szCs w:val="24"/>
          <w:lang w:val="en-US" w:eastAsia="zh-CN"/>
        </w:rPr>
        <w:t>进行排序，得到了以下初步结论：</w:t>
      </w:r>
      <w:r>
        <w:rPr>
          <w:rFonts w:hint="eastAsia" w:ascii="宋体" w:hAnsi="宋体" w:eastAsia="宋体" w:cs="宋体"/>
          <w:sz w:val="24"/>
          <w:szCs w:val="24"/>
        </w:rPr>
        <w:t>居民购买决策聚焦 “安全属性”，其次是 “健康属性”，“价格” 优先级最低：</w:t>
      </w:r>
    </w:p>
    <w:p w14:paraId="7A3517C0">
      <w:pPr>
        <w:pStyle w:val="18"/>
        <w:jc w:val="center"/>
        <w:rPr>
          <w:rFonts w:hint="eastAsia" w:ascii="宋体" w:hAnsi="宋体" w:eastAsia="宋体" w:cs="宋体"/>
          <w:sz w:val="21"/>
          <w:szCs w:val="21"/>
          <w:lang w:val="en-US" w:eastAsia="zh-CN"/>
        </w:rPr>
      </w:pPr>
    </w:p>
    <w:p w14:paraId="452CD3D9">
      <w:pPr>
        <w:pStyle w:val="18"/>
        <w:jc w:val="center"/>
        <w:rPr>
          <w:rFonts w:hint="eastAsia" w:ascii="宋体" w:hAnsi="宋体" w:eastAsia="宋体" w:cs="宋体"/>
          <w:sz w:val="21"/>
          <w:szCs w:val="21"/>
          <w:lang w:val="en-US" w:eastAsia="zh-CN"/>
        </w:rPr>
      </w:pPr>
    </w:p>
    <w:p w14:paraId="60782640">
      <w:pPr>
        <w:pStyle w:val="18"/>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表4-3 关注维度表</w:t>
      </w:r>
    </w:p>
    <w:tbl>
      <w:tblPr>
        <w:tblStyle w:val="12"/>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8" w:type="dxa"/>
          <w:bottom w:w="80" w:type="dxa"/>
          <w:right w:w="128" w:type="dxa"/>
        </w:tblCellMar>
      </w:tblPr>
      <w:tblGrid>
        <w:gridCol w:w="4382"/>
        <w:gridCol w:w="2105"/>
        <w:gridCol w:w="2727"/>
      </w:tblGrid>
      <w:tr w14:paraId="3D6E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4382" w:type="dxa"/>
            <w:tcBorders>
              <w:top w:val="single" w:color="auto" w:sz="12" w:space="0"/>
              <w:left w:val="nil"/>
              <w:bottom w:val="single" w:color="auto" w:sz="4" w:space="0"/>
              <w:right w:val="nil"/>
            </w:tcBorders>
            <w:vAlign w:val="center"/>
          </w:tcPr>
          <w:p w14:paraId="3438737A">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关注维度</w:t>
            </w:r>
          </w:p>
        </w:tc>
        <w:tc>
          <w:tcPr>
            <w:tcW w:w="2105" w:type="dxa"/>
            <w:tcBorders>
              <w:top w:val="single" w:color="auto" w:sz="12" w:space="0"/>
              <w:left w:val="nil"/>
              <w:bottom w:val="single" w:color="auto" w:sz="4" w:space="0"/>
              <w:right w:val="nil"/>
            </w:tcBorders>
            <w:vAlign w:val="center"/>
          </w:tcPr>
          <w:p w14:paraId="4FE64BFB">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综合得分</w:t>
            </w:r>
          </w:p>
        </w:tc>
        <w:tc>
          <w:tcPr>
            <w:tcW w:w="2727" w:type="dxa"/>
            <w:tcBorders>
              <w:top w:val="single" w:color="auto" w:sz="12" w:space="0"/>
              <w:left w:val="nil"/>
              <w:bottom w:val="single" w:color="auto" w:sz="4" w:space="0"/>
              <w:right w:val="nil"/>
            </w:tcBorders>
            <w:vAlign w:val="center"/>
          </w:tcPr>
          <w:p w14:paraId="356D944D">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第1位选择占比</w:t>
            </w:r>
          </w:p>
        </w:tc>
      </w:tr>
      <w:tr w14:paraId="281A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4382" w:type="dxa"/>
            <w:tcBorders>
              <w:top w:val="single" w:color="auto" w:sz="4" w:space="0"/>
              <w:left w:val="nil"/>
              <w:bottom w:val="nil"/>
              <w:right w:val="nil"/>
            </w:tcBorders>
            <w:vAlign w:val="center"/>
          </w:tcPr>
          <w:p w14:paraId="36FFA538">
            <w:pPr>
              <w:pStyle w:val="18"/>
              <w:snapToGrid w:val="0"/>
              <w:jc w:val="center"/>
              <w:rPr>
                <w:rFonts w:hint="eastAsia" w:ascii="宋体" w:hAnsi="宋体" w:eastAsia="宋体" w:cs="宋体"/>
                <w:sz w:val="22"/>
              </w:rPr>
            </w:pPr>
            <w:r>
              <w:rPr>
                <w:rFonts w:hint="eastAsia" w:ascii="宋体" w:hAnsi="宋体" w:eastAsia="宋体" w:cs="宋体"/>
                <w:sz w:val="22"/>
              </w:rPr>
              <w:t>生产日期和保质期</w:t>
            </w:r>
          </w:p>
        </w:tc>
        <w:tc>
          <w:tcPr>
            <w:tcW w:w="2105" w:type="dxa"/>
            <w:tcBorders>
              <w:top w:val="single" w:color="auto" w:sz="4" w:space="0"/>
              <w:left w:val="nil"/>
              <w:bottom w:val="nil"/>
              <w:right w:val="nil"/>
            </w:tcBorders>
            <w:vAlign w:val="center"/>
          </w:tcPr>
          <w:p w14:paraId="266ED143">
            <w:pPr>
              <w:pStyle w:val="18"/>
              <w:snapToGrid w:val="0"/>
              <w:jc w:val="center"/>
              <w:rPr>
                <w:rFonts w:hint="eastAsia" w:ascii="宋体" w:hAnsi="宋体" w:eastAsia="宋体" w:cs="宋体"/>
                <w:sz w:val="22"/>
              </w:rPr>
            </w:pPr>
            <w:r>
              <w:rPr>
                <w:rFonts w:hint="eastAsia" w:ascii="宋体" w:hAnsi="宋体" w:eastAsia="宋体" w:cs="宋体"/>
                <w:sz w:val="22"/>
              </w:rPr>
              <w:t>3.98</w:t>
            </w:r>
          </w:p>
        </w:tc>
        <w:tc>
          <w:tcPr>
            <w:tcW w:w="2727" w:type="dxa"/>
            <w:tcBorders>
              <w:top w:val="single" w:color="auto" w:sz="4" w:space="0"/>
              <w:left w:val="nil"/>
              <w:bottom w:val="nil"/>
              <w:right w:val="nil"/>
            </w:tcBorders>
            <w:vAlign w:val="center"/>
          </w:tcPr>
          <w:p w14:paraId="129ACD98">
            <w:pPr>
              <w:pStyle w:val="18"/>
              <w:snapToGrid w:val="0"/>
              <w:jc w:val="center"/>
              <w:rPr>
                <w:rFonts w:hint="eastAsia" w:ascii="宋体" w:hAnsi="宋体" w:eastAsia="宋体" w:cs="宋体"/>
                <w:sz w:val="22"/>
              </w:rPr>
            </w:pPr>
            <w:r>
              <w:rPr>
                <w:rFonts w:hint="eastAsia" w:ascii="宋体" w:hAnsi="宋体" w:eastAsia="宋体" w:cs="宋体"/>
                <w:sz w:val="22"/>
              </w:rPr>
              <w:t>52.13%</w:t>
            </w:r>
          </w:p>
        </w:tc>
      </w:tr>
      <w:tr w14:paraId="6C9C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4382" w:type="dxa"/>
            <w:tcBorders>
              <w:top w:val="nil"/>
              <w:left w:val="nil"/>
              <w:bottom w:val="nil"/>
              <w:right w:val="nil"/>
            </w:tcBorders>
            <w:vAlign w:val="center"/>
          </w:tcPr>
          <w:p w14:paraId="501462AF">
            <w:pPr>
              <w:pStyle w:val="18"/>
              <w:snapToGrid w:val="0"/>
              <w:jc w:val="center"/>
              <w:rPr>
                <w:rFonts w:hint="eastAsia" w:ascii="宋体" w:hAnsi="宋体" w:eastAsia="宋体" w:cs="宋体"/>
                <w:sz w:val="22"/>
              </w:rPr>
            </w:pPr>
            <w:r>
              <w:rPr>
                <w:rFonts w:hint="eastAsia" w:ascii="宋体" w:hAnsi="宋体" w:eastAsia="宋体" w:cs="宋体"/>
                <w:sz w:val="22"/>
              </w:rPr>
              <w:t>配料表（过敏成分、添加剂）</w:t>
            </w:r>
          </w:p>
        </w:tc>
        <w:tc>
          <w:tcPr>
            <w:tcW w:w="2105" w:type="dxa"/>
            <w:tcBorders>
              <w:top w:val="nil"/>
              <w:left w:val="nil"/>
              <w:bottom w:val="nil"/>
              <w:right w:val="nil"/>
            </w:tcBorders>
            <w:vAlign w:val="center"/>
          </w:tcPr>
          <w:p w14:paraId="6E6B46CF">
            <w:pPr>
              <w:pStyle w:val="18"/>
              <w:snapToGrid w:val="0"/>
              <w:jc w:val="center"/>
              <w:rPr>
                <w:rFonts w:hint="eastAsia" w:ascii="宋体" w:hAnsi="宋体" w:eastAsia="宋体" w:cs="宋体"/>
                <w:sz w:val="22"/>
              </w:rPr>
            </w:pPr>
            <w:r>
              <w:rPr>
                <w:rFonts w:hint="eastAsia" w:ascii="宋体" w:hAnsi="宋体" w:eastAsia="宋体" w:cs="宋体"/>
                <w:sz w:val="22"/>
              </w:rPr>
              <w:t>3.65</w:t>
            </w:r>
          </w:p>
        </w:tc>
        <w:tc>
          <w:tcPr>
            <w:tcW w:w="2727" w:type="dxa"/>
            <w:tcBorders>
              <w:top w:val="nil"/>
              <w:left w:val="nil"/>
              <w:bottom w:val="nil"/>
              <w:right w:val="nil"/>
            </w:tcBorders>
            <w:vAlign w:val="center"/>
          </w:tcPr>
          <w:p w14:paraId="74FC1EFD">
            <w:pPr>
              <w:pStyle w:val="18"/>
              <w:snapToGrid w:val="0"/>
              <w:jc w:val="center"/>
              <w:rPr>
                <w:rFonts w:hint="eastAsia" w:ascii="宋体" w:hAnsi="宋体" w:eastAsia="宋体" w:cs="宋体"/>
                <w:sz w:val="22"/>
              </w:rPr>
            </w:pPr>
            <w:r>
              <w:rPr>
                <w:rFonts w:hint="eastAsia" w:ascii="宋体" w:hAnsi="宋体" w:eastAsia="宋体" w:cs="宋体"/>
                <w:sz w:val="22"/>
              </w:rPr>
              <w:t>23.40%</w:t>
            </w:r>
          </w:p>
        </w:tc>
      </w:tr>
      <w:tr w14:paraId="574E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4382" w:type="dxa"/>
            <w:tcBorders>
              <w:top w:val="nil"/>
              <w:left w:val="nil"/>
              <w:bottom w:val="nil"/>
              <w:right w:val="nil"/>
            </w:tcBorders>
            <w:vAlign w:val="center"/>
          </w:tcPr>
          <w:p w14:paraId="4DC26AC3">
            <w:pPr>
              <w:pStyle w:val="18"/>
              <w:snapToGrid w:val="0"/>
              <w:jc w:val="center"/>
              <w:rPr>
                <w:rFonts w:hint="eastAsia" w:ascii="宋体" w:hAnsi="宋体" w:eastAsia="宋体" w:cs="宋体"/>
                <w:sz w:val="22"/>
              </w:rPr>
            </w:pPr>
            <w:r>
              <w:rPr>
                <w:rFonts w:hint="eastAsia" w:ascii="宋体" w:hAnsi="宋体" w:eastAsia="宋体" w:cs="宋体"/>
                <w:sz w:val="22"/>
              </w:rPr>
              <w:t>营养成分表（热量、钠等）</w:t>
            </w:r>
          </w:p>
        </w:tc>
        <w:tc>
          <w:tcPr>
            <w:tcW w:w="2105" w:type="dxa"/>
            <w:tcBorders>
              <w:top w:val="nil"/>
              <w:left w:val="nil"/>
              <w:bottom w:val="nil"/>
              <w:right w:val="nil"/>
            </w:tcBorders>
            <w:vAlign w:val="center"/>
          </w:tcPr>
          <w:p w14:paraId="7C696B5D">
            <w:pPr>
              <w:pStyle w:val="18"/>
              <w:snapToGrid w:val="0"/>
              <w:jc w:val="center"/>
              <w:rPr>
                <w:rFonts w:hint="eastAsia" w:ascii="宋体" w:hAnsi="宋体" w:eastAsia="宋体" w:cs="宋体"/>
                <w:sz w:val="22"/>
              </w:rPr>
            </w:pPr>
            <w:r>
              <w:rPr>
                <w:rFonts w:hint="eastAsia" w:ascii="宋体" w:hAnsi="宋体" w:eastAsia="宋体" w:cs="宋体"/>
                <w:sz w:val="22"/>
              </w:rPr>
              <w:t>2.96</w:t>
            </w:r>
          </w:p>
        </w:tc>
        <w:tc>
          <w:tcPr>
            <w:tcW w:w="2727" w:type="dxa"/>
            <w:tcBorders>
              <w:top w:val="nil"/>
              <w:left w:val="nil"/>
              <w:bottom w:val="nil"/>
              <w:right w:val="nil"/>
            </w:tcBorders>
            <w:vAlign w:val="center"/>
          </w:tcPr>
          <w:p w14:paraId="6E53AB57">
            <w:pPr>
              <w:pStyle w:val="18"/>
              <w:snapToGrid w:val="0"/>
              <w:jc w:val="center"/>
              <w:rPr>
                <w:rFonts w:hint="eastAsia" w:ascii="宋体" w:hAnsi="宋体" w:eastAsia="宋体" w:cs="宋体"/>
                <w:sz w:val="22"/>
              </w:rPr>
            </w:pPr>
            <w:r>
              <w:rPr>
                <w:rFonts w:hint="eastAsia" w:ascii="宋体" w:hAnsi="宋体" w:eastAsia="宋体" w:cs="宋体"/>
                <w:sz w:val="22"/>
              </w:rPr>
              <w:t>8.51%</w:t>
            </w:r>
          </w:p>
        </w:tc>
      </w:tr>
      <w:tr w14:paraId="0857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4382" w:type="dxa"/>
            <w:tcBorders>
              <w:top w:val="nil"/>
              <w:left w:val="nil"/>
              <w:bottom w:val="nil"/>
              <w:right w:val="nil"/>
            </w:tcBorders>
            <w:vAlign w:val="center"/>
          </w:tcPr>
          <w:p w14:paraId="48B7378F">
            <w:pPr>
              <w:pStyle w:val="18"/>
              <w:snapToGrid w:val="0"/>
              <w:jc w:val="center"/>
              <w:rPr>
                <w:rFonts w:hint="eastAsia" w:ascii="宋体" w:hAnsi="宋体" w:eastAsia="宋体" w:cs="宋体"/>
                <w:sz w:val="22"/>
              </w:rPr>
            </w:pPr>
            <w:r>
              <w:rPr>
                <w:rFonts w:hint="eastAsia" w:ascii="宋体" w:hAnsi="宋体" w:eastAsia="宋体" w:cs="宋体"/>
                <w:sz w:val="22"/>
              </w:rPr>
              <w:t>品牌知名度</w:t>
            </w:r>
          </w:p>
        </w:tc>
        <w:tc>
          <w:tcPr>
            <w:tcW w:w="2105" w:type="dxa"/>
            <w:tcBorders>
              <w:top w:val="nil"/>
              <w:left w:val="nil"/>
              <w:bottom w:val="nil"/>
              <w:right w:val="nil"/>
            </w:tcBorders>
            <w:vAlign w:val="center"/>
          </w:tcPr>
          <w:p w14:paraId="7A9EC5C6">
            <w:pPr>
              <w:pStyle w:val="18"/>
              <w:snapToGrid w:val="0"/>
              <w:jc w:val="center"/>
              <w:rPr>
                <w:rFonts w:hint="eastAsia" w:ascii="宋体" w:hAnsi="宋体" w:eastAsia="宋体" w:cs="宋体"/>
                <w:sz w:val="22"/>
              </w:rPr>
            </w:pPr>
            <w:r>
              <w:rPr>
                <w:rFonts w:hint="eastAsia" w:ascii="宋体" w:hAnsi="宋体" w:eastAsia="宋体" w:cs="宋体"/>
                <w:sz w:val="22"/>
              </w:rPr>
              <w:t>2.47</w:t>
            </w:r>
          </w:p>
        </w:tc>
        <w:tc>
          <w:tcPr>
            <w:tcW w:w="2727" w:type="dxa"/>
            <w:tcBorders>
              <w:top w:val="nil"/>
              <w:left w:val="nil"/>
              <w:bottom w:val="nil"/>
              <w:right w:val="nil"/>
            </w:tcBorders>
            <w:vAlign w:val="center"/>
          </w:tcPr>
          <w:p w14:paraId="5390308A">
            <w:pPr>
              <w:pStyle w:val="18"/>
              <w:snapToGrid w:val="0"/>
              <w:jc w:val="center"/>
              <w:rPr>
                <w:rFonts w:hint="eastAsia" w:ascii="宋体" w:hAnsi="宋体" w:eastAsia="宋体" w:cs="宋体"/>
                <w:sz w:val="22"/>
              </w:rPr>
            </w:pPr>
            <w:r>
              <w:rPr>
                <w:rFonts w:hint="eastAsia" w:ascii="宋体" w:hAnsi="宋体" w:eastAsia="宋体" w:cs="宋体"/>
                <w:sz w:val="22"/>
              </w:rPr>
              <w:t>10.11%</w:t>
            </w:r>
          </w:p>
        </w:tc>
      </w:tr>
      <w:tr w14:paraId="0090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4382" w:type="dxa"/>
            <w:tcBorders>
              <w:top w:val="nil"/>
              <w:left w:val="nil"/>
              <w:bottom w:val="single" w:color="auto" w:sz="12" w:space="0"/>
              <w:right w:val="nil"/>
            </w:tcBorders>
            <w:vAlign w:val="center"/>
          </w:tcPr>
          <w:p w14:paraId="19221F34">
            <w:pPr>
              <w:pStyle w:val="18"/>
              <w:snapToGrid w:val="0"/>
              <w:jc w:val="center"/>
              <w:rPr>
                <w:rFonts w:hint="eastAsia" w:ascii="宋体" w:hAnsi="宋体" w:eastAsia="宋体" w:cs="宋体"/>
                <w:sz w:val="22"/>
              </w:rPr>
            </w:pPr>
            <w:r>
              <w:rPr>
                <w:rFonts w:hint="eastAsia" w:ascii="宋体" w:hAnsi="宋体" w:eastAsia="宋体" w:cs="宋体"/>
                <w:sz w:val="22"/>
              </w:rPr>
              <w:t>价格</w:t>
            </w:r>
          </w:p>
        </w:tc>
        <w:tc>
          <w:tcPr>
            <w:tcW w:w="2105" w:type="dxa"/>
            <w:tcBorders>
              <w:top w:val="nil"/>
              <w:left w:val="nil"/>
              <w:bottom w:val="single" w:color="auto" w:sz="12" w:space="0"/>
              <w:right w:val="nil"/>
            </w:tcBorders>
            <w:vAlign w:val="center"/>
          </w:tcPr>
          <w:p w14:paraId="1D1933AD">
            <w:pPr>
              <w:pStyle w:val="18"/>
              <w:snapToGrid w:val="0"/>
              <w:jc w:val="center"/>
              <w:rPr>
                <w:rFonts w:hint="eastAsia" w:ascii="宋体" w:hAnsi="宋体" w:eastAsia="宋体" w:cs="宋体"/>
                <w:sz w:val="22"/>
              </w:rPr>
            </w:pPr>
            <w:r>
              <w:rPr>
                <w:rFonts w:hint="eastAsia" w:ascii="宋体" w:hAnsi="宋体" w:eastAsia="宋体" w:cs="宋体"/>
                <w:sz w:val="22"/>
              </w:rPr>
              <w:t>1.93</w:t>
            </w:r>
          </w:p>
        </w:tc>
        <w:tc>
          <w:tcPr>
            <w:tcW w:w="2727" w:type="dxa"/>
            <w:tcBorders>
              <w:top w:val="nil"/>
              <w:left w:val="nil"/>
              <w:bottom w:val="single" w:color="auto" w:sz="12" w:space="0"/>
              <w:right w:val="nil"/>
            </w:tcBorders>
            <w:vAlign w:val="center"/>
          </w:tcPr>
          <w:p w14:paraId="0825171D">
            <w:pPr>
              <w:pStyle w:val="18"/>
              <w:snapToGrid w:val="0"/>
              <w:jc w:val="center"/>
              <w:rPr>
                <w:rFonts w:hint="eastAsia" w:ascii="宋体" w:hAnsi="宋体" w:eastAsia="宋体" w:cs="宋体"/>
                <w:sz w:val="22"/>
              </w:rPr>
            </w:pPr>
            <w:r>
              <w:rPr>
                <w:rFonts w:hint="eastAsia" w:ascii="宋体" w:hAnsi="宋体" w:eastAsia="宋体" w:cs="宋体"/>
                <w:sz w:val="22"/>
              </w:rPr>
              <w:t>5.85%</w:t>
            </w:r>
          </w:p>
        </w:tc>
      </w:tr>
    </w:tbl>
    <w:p w14:paraId="5393D647">
      <w:pPr>
        <w:pStyle w:val="4"/>
        <w:ind w:left="0" w:leftChars="0"/>
        <w:outlineLvl w:val="9"/>
        <w:rPr>
          <w:rFonts w:hint="eastAsia" w:ascii="宋体" w:hAnsi="宋体" w:eastAsia="宋体" w:cs="宋体"/>
          <w:sz w:val="28"/>
          <w:szCs w:val="28"/>
          <w:lang w:val="en-US" w:eastAsia="zh-CN"/>
        </w:rPr>
      </w:pPr>
    </w:p>
    <w:p w14:paraId="25285EF2">
      <w:pPr>
        <w:pStyle w:val="4"/>
        <w:ind w:left="0" w:leftChars="0"/>
        <w:outlineLvl w:val="1"/>
        <w:rPr>
          <w:rFonts w:hint="eastAsia" w:ascii="黑体" w:hAnsi="黑体" w:eastAsia="黑体" w:cs="黑体"/>
          <w:b/>
          <w:bCs/>
          <w:sz w:val="30"/>
          <w:szCs w:val="30"/>
          <w:lang w:val="en-US" w:eastAsia="zh-CN"/>
        </w:rPr>
      </w:pPr>
      <w:bookmarkStart w:id="12" w:name="_Toc13210"/>
      <w:r>
        <w:rPr>
          <w:rFonts w:hint="eastAsia" w:ascii="黑体" w:hAnsi="黑体" w:eastAsia="黑体" w:cs="黑体"/>
          <w:b/>
          <w:bCs/>
          <w:sz w:val="30"/>
          <w:szCs w:val="30"/>
          <w:lang w:val="en-US" w:eastAsia="zh-CN"/>
        </w:rPr>
        <w:t>4.2.3食品安全问题经历与处理</w:t>
      </w:r>
      <w:bookmarkEnd w:id="12"/>
    </w:p>
    <w:p w14:paraId="029DDF00">
      <w:pPr>
        <w:pStyle w:val="18"/>
        <w:numPr>
          <w:ilvl w:val="0"/>
          <w:numId w:val="4"/>
        </w:numPr>
        <w:rPr>
          <w:rFonts w:hint="eastAsia" w:ascii="宋体" w:hAnsi="宋体" w:eastAsia="宋体" w:cs="宋体"/>
          <w:sz w:val="24"/>
          <w:szCs w:val="24"/>
        </w:rPr>
      </w:pPr>
      <w:r>
        <w:rPr>
          <w:rFonts w:hint="eastAsia" w:ascii="宋体" w:hAnsi="宋体" w:eastAsia="宋体" w:cs="宋体"/>
          <w:b/>
          <w:bCs/>
          <w:sz w:val="24"/>
          <w:szCs w:val="24"/>
        </w:rPr>
        <w:t>问题发生率</w:t>
      </w:r>
      <w:r>
        <w:rPr>
          <w:rFonts w:hint="eastAsia" w:ascii="宋体" w:hAnsi="宋体" w:eastAsia="宋体" w:cs="宋体"/>
          <w:sz w:val="24"/>
          <w:szCs w:val="24"/>
        </w:rPr>
        <w:t>：46.45%（98 人）的居民在过去 1 年中遇到过食品安全问题（如过期、变质），说明社区食品安全仍存在风险点；</w:t>
      </w:r>
    </w:p>
    <w:p w14:paraId="6B08F9FE">
      <w:pPr>
        <w:pStyle w:val="18"/>
        <w:numPr>
          <w:ilvl w:val="0"/>
          <w:numId w:val="4"/>
        </w:numPr>
        <w:rPr>
          <w:rFonts w:hint="eastAsia" w:ascii="宋体" w:hAnsi="宋体" w:eastAsia="宋体" w:cs="宋体"/>
          <w:sz w:val="24"/>
          <w:szCs w:val="24"/>
        </w:rPr>
      </w:pPr>
      <w:r>
        <w:rPr>
          <w:rFonts w:hint="eastAsia" w:ascii="宋体" w:hAnsi="宋体" w:eastAsia="宋体" w:cs="宋体"/>
          <w:b/>
          <w:bCs/>
          <w:sz w:val="24"/>
          <w:szCs w:val="24"/>
        </w:rPr>
        <w:t>处理方式偏好</w:t>
      </w:r>
      <w:r>
        <w:rPr>
          <w:rFonts w:hint="eastAsia" w:ascii="宋体" w:hAnsi="宋体" w:eastAsia="宋体" w:cs="宋体"/>
          <w:sz w:val="24"/>
          <w:szCs w:val="24"/>
        </w:rPr>
        <w:t>：居民倾向 “个体维权”，缺乏 “群体共治” 意识：</w:t>
      </w:r>
    </w:p>
    <w:p w14:paraId="4D996128">
      <w:pPr>
        <w:pStyle w:val="18"/>
        <w:numPr>
          <w:ilvl w:val="1"/>
          <w:numId w:val="3"/>
        </w:numPr>
        <w:rPr>
          <w:rFonts w:hint="eastAsia" w:ascii="宋体" w:hAnsi="宋体" w:eastAsia="宋体" w:cs="宋体"/>
          <w:sz w:val="24"/>
          <w:szCs w:val="24"/>
        </w:rPr>
      </w:pPr>
      <w:r>
        <w:rPr>
          <w:rFonts w:hint="eastAsia" w:ascii="宋体" w:hAnsi="宋体" w:eastAsia="宋体" w:cs="宋体"/>
          <w:sz w:val="24"/>
          <w:szCs w:val="24"/>
        </w:rPr>
        <w:t>主要方式：联系商家退换货（64 人，65.31%）、直接丢弃（43 人，43.88%）；</w:t>
      </w:r>
    </w:p>
    <w:p w14:paraId="517508E0">
      <w:pPr>
        <w:pStyle w:val="18"/>
        <w:numPr>
          <w:ilvl w:val="1"/>
          <w:numId w:val="3"/>
        </w:numPr>
        <w:rPr>
          <w:rFonts w:hint="eastAsia" w:ascii="宋体" w:hAnsi="宋体" w:eastAsia="宋体" w:cs="宋体"/>
          <w:sz w:val="24"/>
          <w:szCs w:val="24"/>
        </w:rPr>
      </w:pPr>
      <w:r>
        <w:rPr>
          <w:rFonts w:hint="eastAsia" w:ascii="宋体" w:hAnsi="宋体" w:eastAsia="宋体" w:cs="宋体"/>
          <w:sz w:val="24"/>
          <w:szCs w:val="24"/>
        </w:rPr>
        <w:t>共治相关方式：向社区网格员反馈（33 人，33.67%）、拨打 12315 投诉（30 人，30.61%），仅 8.16%（8 人）会在社区群提醒其他居民。</w:t>
      </w:r>
    </w:p>
    <w:p w14:paraId="38E2DC20">
      <w:pPr>
        <w:pStyle w:val="4"/>
        <w:ind w:left="0" w:leftChars="0"/>
        <w:outlineLvl w:val="1"/>
        <w:rPr>
          <w:rFonts w:hint="eastAsia" w:ascii="黑体" w:hAnsi="黑体" w:eastAsia="黑体" w:cs="黑体"/>
          <w:b/>
          <w:bCs/>
          <w:sz w:val="30"/>
          <w:szCs w:val="30"/>
          <w:lang w:val="en-US" w:eastAsia="zh-CN"/>
        </w:rPr>
      </w:pPr>
      <w:bookmarkStart w:id="13" w:name="_Toc12524"/>
      <w:r>
        <w:rPr>
          <w:rFonts w:hint="eastAsia" w:ascii="黑体" w:hAnsi="黑体" w:eastAsia="黑体" w:cs="黑体"/>
          <w:b/>
          <w:bCs/>
          <w:sz w:val="30"/>
          <w:szCs w:val="30"/>
          <w:lang w:val="en-US" w:eastAsia="zh-CN"/>
        </w:rPr>
        <w:t>4.2.4食品安全监管改进需求</w:t>
      </w:r>
      <w:bookmarkEnd w:id="13"/>
    </w:p>
    <w:p w14:paraId="6BCDB327">
      <w:pPr>
        <w:pStyle w:val="18"/>
        <w:rPr>
          <w:rFonts w:hint="eastAsia" w:ascii="宋体" w:hAnsi="宋体" w:eastAsia="宋体" w:cs="宋体"/>
          <w:sz w:val="24"/>
          <w:szCs w:val="24"/>
        </w:rPr>
      </w:pPr>
      <w:r>
        <w:rPr>
          <w:rFonts w:hint="eastAsia" w:ascii="宋体" w:hAnsi="宋体" w:eastAsia="宋体" w:cs="宋体"/>
          <w:sz w:val="24"/>
          <w:szCs w:val="24"/>
        </w:rPr>
        <w:t>居民对监管的核心诉求集中在 “信息透明” 和 “参与渠道”，具体如下：</w:t>
      </w:r>
    </w:p>
    <w:p w14:paraId="05D8F552">
      <w:pPr>
        <w:pStyle w:val="18"/>
        <w:numPr>
          <w:ilvl w:val="0"/>
          <w:numId w:val="5"/>
        </w:numPr>
        <w:rPr>
          <w:rFonts w:hint="eastAsia" w:ascii="宋体" w:hAnsi="宋体" w:eastAsia="宋体" w:cs="宋体"/>
          <w:sz w:val="24"/>
          <w:szCs w:val="24"/>
        </w:rPr>
      </w:pPr>
      <w:r>
        <w:rPr>
          <w:rFonts w:hint="eastAsia" w:ascii="宋体" w:hAnsi="宋体" w:eastAsia="宋体" w:cs="宋体"/>
          <w:sz w:val="24"/>
          <w:szCs w:val="24"/>
        </w:rPr>
        <w:t>最高需求：信息透明度（164 人，77.73%），居民希望获取食品检测结果等关键信息；</w:t>
      </w:r>
    </w:p>
    <w:p w14:paraId="11036683">
      <w:pPr>
        <w:pStyle w:val="18"/>
        <w:numPr>
          <w:ilvl w:val="0"/>
          <w:numId w:val="5"/>
        </w:numPr>
        <w:rPr>
          <w:rFonts w:hint="eastAsia" w:ascii="宋体" w:hAnsi="宋体" w:eastAsia="宋体" w:cs="宋体"/>
          <w:sz w:val="24"/>
          <w:szCs w:val="24"/>
        </w:rPr>
      </w:pPr>
      <w:r>
        <w:rPr>
          <w:rFonts w:hint="eastAsia" w:ascii="宋体" w:hAnsi="宋体" w:eastAsia="宋体" w:cs="宋体"/>
          <w:sz w:val="24"/>
          <w:szCs w:val="24"/>
        </w:rPr>
        <w:t>次高需求：居民参与渠道（129 人，61.14%），反映“想反馈但无途径”的痛点；</w:t>
      </w:r>
    </w:p>
    <w:p w14:paraId="44293F01">
      <w:pPr>
        <w:pStyle w:val="18"/>
        <w:numPr>
          <w:ilvl w:val="0"/>
          <w:numId w:val="5"/>
        </w:numPr>
        <w:rPr>
          <w:rFonts w:hint="eastAsia" w:ascii="宋体" w:hAnsi="宋体" w:eastAsia="宋体" w:cs="宋体"/>
          <w:sz w:val="24"/>
          <w:szCs w:val="24"/>
        </w:rPr>
      </w:pPr>
      <w:r>
        <w:rPr>
          <w:rFonts w:hint="eastAsia" w:ascii="宋体" w:hAnsi="宋体" w:eastAsia="宋体" w:cs="宋体"/>
          <w:sz w:val="24"/>
          <w:szCs w:val="24"/>
        </w:rPr>
        <w:t>其他需求：监管频率（105 人，49.76%）、问题处理效率（96 人，45.50%）。</w:t>
      </w:r>
    </w:p>
    <w:p w14:paraId="38A6B881">
      <w:pPr>
        <w:pStyle w:val="3"/>
        <w:ind w:left="0" w:leftChars="0"/>
        <w:outlineLvl w:val="9"/>
        <w:rPr>
          <w:rFonts w:hint="eastAsia" w:ascii="宋体" w:hAnsi="宋体" w:eastAsia="宋体" w:cs="宋体"/>
          <w:b/>
          <w:bCs/>
          <w:sz w:val="30"/>
          <w:szCs w:val="30"/>
          <w:lang w:val="en-US" w:eastAsia="zh-CN"/>
        </w:rPr>
      </w:pPr>
    </w:p>
    <w:p w14:paraId="7C346F1B">
      <w:pPr>
        <w:pStyle w:val="3"/>
        <w:rPr>
          <w:rFonts w:hint="eastAsia" w:ascii="宋体" w:hAnsi="宋体" w:eastAsia="宋体" w:cs="宋体"/>
          <w:b/>
          <w:bCs/>
          <w:sz w:val="30"/>
          <w:szCs w:val="30"/>
        </w:rPr>
      </w:pPr>
      <w:bookmarkStart w:id="14" w:name="_Toc13637"/>
      <w:r>
        <w:rPr>
          <w:rFonts w:hint="eastAsia" w:ascii="宋体" w:hAnsi="宋体" w:eastAsia="宋体" w:cs="宋体"/>
          <w:b/>
          <w:bCs/>
          <w:sz w:val="30"/>
          <w:szCs w:val="30"/>
          <w:lang w:val="en-US" w:eastAsia="zh-CN"/>
        </w:rPr>
        <w:t xml:space="preserve">4.3 </w:t>
      </w:r>
      <w:r>
        <w:rPr>
          <w:rFonts w:hint="eastAsia" w:ascii="宋体" w:hAnsi="宋体" w:eastAsia="宋体" w:cs="宋体"/>
          <w:b/>
          <w:bCs/>
          <w:sz w:val="30"/>
          <w:szCs w:val="30"/>
        </w:rPr>
        <w:t>社区居民食品安全共治意愿分析</w:t>
      </w:r>
      <w:bookmarkEnd w:id="14"/>
    </w:p>
    <w:p w14:paraId="59A70E2E">
      <w:pPr>
        <w:pStyle w:val="5"/>
        <w:ind w:left="0" w:leftChars="0"/>
        <w:outlineLvl w:val="2"/>
        <w:rPr>
          <w:rFonts w:hint="eastAsia"/>
        </w:rPr>
      </w:pPr>
      <w:r>
        <w:rPr>
          <w:rFonts w:hint="eastAsia" w:ascii="宋体" w:hAnsi="宋体" w:eastAsia="宋体" w:cs="宋体"/>
          <w:sz w:val="30"/>
          <w:szCs w:val="30"/>
        </w:rPr>
        <w:t>4.3.1 整体共治意愿</w:t>
      </w:r>
    </w:p>
    <w:p w14:paraId="5FF9A6AA">
      <w:pPr>
        <w:pStyle w:val="18"/>
        <w:rPr>
          <w:rFonts w:hint="eastAsia" w:ascii="宋体" w:hAnsi="宋体" w:eastAsia="宋体" w:cs="宋体"/>
          <w:sz w:val="24"/>
          <w:szCs w:val="24"/>
        </w:rPr>
      </w:pPr>
      <w:r>
        <w:rPr>
          <w:rFonts w:hint="eastAsia" w:ascii="宋体" w:hAnsi="宋体" w:eastAsia="宋体" w:cs="宋体"/>
          <w:sz w:val="24"/>
          <w:szCs w:val="24"/>
        </w:rPr>
        <w:t>采用 Likert 5 级量表（1 = 非常不愿意，5 = 非常愿意）测量，居民整体共治意愿呈 “中等偏上” 水平，具体分布如下：</w:t>
      </w:r>
    </w:p>
    <w:p w14:paraId="5ED81260">
      <w:pPr>
        <w:pStyle w:val="18"/>
        <w:numPr>
          <w:ilvl w:val="0"/>
          <w:numId w:val="6"/>
        </w:numPr>
        <w:rPr>
          <w:rFonts w:hint="eastAsia" w:ascii="宋体" w:hAnsi="宋体" w:eastAsia="宋体" w:cs="宋体"/>
          <w:sz w:val="24"/>
          <w:szCs w:val="24"/>
        </w:rPr>
      </w:pPr>
      <w:r>
        <w:rPr>
          <w:rFonts w:hint="eastAsia" w:ascii="宋体" w:hAnsi="宋体" w:eastAsia="宋体" w:cs="宋体"/>
          <w:sz w:val="24"/>
          <w:szCs w:val="24"/>
        </w:rPr>
        <w:t>愿意参与（4-5 分）：123 人，占比 58.29%，平均得分 2.38（5 分制，对应 “比较愿意” 区间）；</w:t>
      </w:r>
    </w:p>
    <w:p w14:paraId="0D0B5FA5">
      <w:pPr>
        <w:pStyle w:val="18"/>
        <w:numPr>
          <w:ilvl w:val="0"/>
          <w:numId w:val="6"/>
        </w:numPr>
        <w:rPr>
          <w:rFonts w:hint="eastAsia" w:ascii="宋体" w:hAnsi="宋体" w:eastAsia="宋体" w:cs="宋体"/>
          <w:sz w:val="24"/>
          <w:szCs w:val="24"/>
        </w:rPr>
      </w:pPr>
      <w:r>
        <w:rPr>
          <w:rFonts w:hint="eastAsia" w:ascii="宋体" w:hAnsi="宋体" w:eastAsia="宋体" w:cs="宋体"/>
          <w:sz w:val="24"/>
          <w:szCs w:val="24"/>
        </w:rPr>
        <w:t>观望态度（3 分）：50 人，占比 23.70%，主要顾虑为 “没时间参与”“担心反馈没用”；</w:t>
      </w:r>
    </w:p>
    <w:p w14:paraId="32B04703">
      <w:pPr>
        <w:pStyle w:val="18"/>
        <w:numPr>
          <w:ilvl w:val="0"/>
          <w:numId w:val="6"/>
        </w:numPr>
        <w:rPr>
          <w:rFonts w:hint="eastAsia" w:ascii="宋体" w:hAnsi="宋体" w:eastAsia="宋体" w:cs="宋体"/>
          <w:sz w:val="24"/>
          <w:szCs w:val="24"/>
        </w:rPr>
      </w:pPr>
      <w:r>
        <w:rPr>
          <w:rFonts w:hint="eastAsia" w:ascii="宋体" w:hAnsi="宋体" w:eastAsia="宋体" w:cs="宋体"/>
          <w:sz w:val="24"/>
          <w:szCs w:val="24"/>
        </w:rPr>
        <w:t>不愿参与（1-2 分）：38 人，占比 18.01%，其中 “觉得是监管部门的事，与个人无关” 占 65.79%，“担心被报复” 占 34.21%。</w:t>
      </w:r>
    </w:p>
    <w:p w14:paraId="681458CA">
      <w:pPr>
        <w:pStyle w:val="4"/>
        <w:ind w:left="0" w:leftChars="0"/>
        <w:outlineLvl w:val="1"/>
        <w:rPr>
          <w:rFonts w:hint="eastAsia" w:ascii="黑体" w:hAnsi="黑体" w:eastAsia="黑体" w:cs="黑体"/>
          <w:b/>
          <w:bCs/>
          <w:sz w:val="30"/>
          <w:szCs w:val="30"/>
          <w:lang w:val="en-US" w:eastAsia="zh-CN"/>
        </w:rPr>
      </w:pPr>
      <w:bookmarkStart w:id="15" w:name="_Toc11451"/>
      <w:r>
        <w:rPr>
          <w:rFonts w:hint="eastAsia" w:ascii="黑体" w:hAnsi="黑体" w:eastAsia="黑体" w:cs="黑体"/>
          <w:b/>
          <w:bCs/>
          <w:sz w:val="30"/>
          <w:szCs w:val="30"/>
          <w:lang w:val="en-US" w:eastAsia="zh-CN"/>
        </w:rPr>
        <w:t>4.3.2 关键交叉分析</w:t>
      </w:r>
      <w:bookmarkEnd w:id="15"/>
    </w:p>
    <w:p w14:paraId="7C4FF639">
      <w:pPr>
        <w:pStyle w:val="18"/>
        <w:rPr>
          <w:rFonts w:hint="eastAsia" w:ascii="宋体" w:hAnsi="宋体" w:eastAsia="宋体" w:cs="宋体"/>
          <w:sz w:val="24"/>
          <w:szCs w:val="24"/>
        </w:rPr>
      </w:pPr>
      <w:r>
        <w:rPr>
          <w:rFonts w:hint="eastAsia" w:ascii="宋体" w:hAnsi="宋体" w:eastAsia="宋体" w:cs="宋体"/>
          <w:sz w:val="24"/>
          <w:szCs w:val="24"/>
        </w:rPr>
        <w:t>通过 “采购角色 × 共治意愿”“问题经历 × 共治意愿”“年龄 × 共治意愿” 三组交叉分析，明确共治核心群体及影响因素：</w:t>
      </w:r>
    </w:p>
    <w:p w14:paraId="1500604E">
      <w:pPr>
        <w:pStyle w:val="5"/>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 xml:space="preserve"> 食品采购角色 vs 共治意愿</w:t>
      </w:r>
    </w:p>
    <w:p w14:paraId="0DF77AE9">
      <w:pPr>
        <w:jc w:val="center"/>
        <w:rPr>
          <w:rFonts w:hint="eastAsia" w:ascii="宋体" w:hAnsi="宋体" w:eastAsia="宋体" w:cs="宋体"/>
          <w:lang w:val="en-US" w:eastAsia="zh-CN"/>
        </w:rPr>
      </w:pPr>
      <w:r>
        <w:rPr>
          <w:rFonts w:hint="eastAsia" w:ascii="宋体" w:hAnsi="宋体" w:eastAsia="宋体" w:cs="宋体"/>
          <w:lang w:val="en-US" w:eastAsia="zh-CN"/>
        </w:rPr>
        <w:t>表 4-4 食品采购角色与共治意愿交叉分析表</w:t>
      </w:r>
    </w:p>
    <w:tbl>
      <w:tblPr>
        <w:tblStyle w:val="12"/>
        <w:tblW w:w="9058" w:type="dxa"/>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8" w:type="dxa"/>
          <w:bottom w:w="80" w:type="dxa"/>
          <w:right w:w="128" w:type="dxa"/>
        </w:tblCellMar>
      </w:tblPr>
      <w:tblGrid>
        <w:gridCol w:w="1668"/>
        <w:gridCol w:w="2672"/>
        <w:gridCol w:w="2359"/>
        <w:gridCol w:w="2359"/>
      </w:tblGrid>
      <w:tr w14:paraId="7000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9" w:hRule="atLeast"/>
          <w:tblHeader/>
        </w:trPr>
        <w:tc>
          <w:tcPr>
            <w:tcW w:w="1668" w:type="dxa"/>
            <w:tcBorders>
              <w:top w:val="single" w:color="auto" w:sz="12" w:space="0"/>
              <w:left w:val="nil"/>
              <w:bottom w:val="single" w:color="auto" w:sz="4" w:space="0"/>
              <w:right w:val="nil"/>
            </w:tcBorders>
            <w:vAlign w:val="center"/>
          </w:tcPr>
          <w:p w14:paraId="0319F970">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采购角色</w:t>
            </w:r>
          </w:p>
        </w:tc>
        <w:tc>
          <w:tcPr>
            <w:tcW w:w="2672" w:type="dxa"/>
            <w:tcBorders>
              <w:top w:val="single" w:color="auto" w:sz="12" w:space="0"/>
              <w:left w:val="nil"/>
              <w:bottom w:val="single" w:color="auto" w:sz="4" w:space="0"/>
              <w:right w:val="nil"/>
            </w:tcBorders>
            <w:vAlign w:val="center"/>
          </w:tcPr>
          <w:p w14:paraId="57F96509">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愿意参与比例</w:t>
            </w:r>
          </w:p>
        </w:tc>
        <w:tc>
          <w:tcPr>
            <w:tcW w:w="2359" w:type="dxa"/>
            <w:tcBorders>
              <w:top w:val="single" w:color="auto" w:sz="12" w:space="0"/>
              <w:left w:val="nil"/>
              <w:bottom w:val="single" w:color="auto" w:sz="4" w:space="0"/>
              <w:right w:val="nil"/>
            </w:tcBorders>
            <w:vAlign w:val="center"/>
          </w:tcPr>
          <w:p w14:paraId="6AB9A9AF">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不确定比例</w:t>
            </w:r>
          </w:p>
        </w:tc>
        <w:tc>
          <w:tcPr>
            <w:tcW w:w="2359" w:type="dxa"/>
            <w:tcBorders>
              <w:top w:val="single" w:color="auto" w:sz="12" w:space="0"/>
              <w:left w:val="nil"/>
              <w:bottom w:val="single" w:color="auto" w:sz="4" w:space="0"/>
              <w:right w:val="nil"/>
            </w:tcBorders>
            <w:vAlign w:val="center"/>
          </w:tcPr>
          <w:p w14:paraId="736E6591">
            <w:pPr>
              <w:pStyle w:val="18"/>
              <w:snapToGrid w:val="0"/>
              <w:jc w:val="center"/>
              <w:rPr>
                <w:rFonts w:hint="eastAsia" w:ascii="宋体" w:hAnsi="宋体" w:eastAsia="宋体" w:cs="宋体"/>
                <w:b/>
                <w:sz w:val="22"/>
                <w:lang w:eastAsia="zh-CN"/>
              </w:rPr>
            </w:pPr>
            <w:r>
              <w:rPr>
                <w:rFonts w:hint="eastAsia" w:ascii="宋体" w:hAnsi="宋体" w:eastAsia="宋体" w:cs="宋体"/>
                <w:b/>
                <w:sz w:val="22"/>
                <w:lang w:eastAsia="zh-CN"/>
              </w:rPr>
              <w:t>不愿参与比例</w:t>
            </w:r>
          </w:p>
        </w:tc>
      </w:tr>
      <w:tr w14:paraId="5462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554" w:hRule="atLeast"/>
        </w:trPr>
        <w:tc>
          <w:tcPr>
            <w:tcW w:w="1668" w:type="dxa"/>
            <w:tcBorders>
              <w:top w:val="single" w:color="auto" w:sz="4" w:space="0"/>
              <w:left w:val="nil"/>
              <w:bottom w:val="nil"/>
              <w:right w:val="nil"/>
            </w:tcBorders>
            <w:vAlign w:val="center"/>
          </w:tcPr>
          <w:p w14:paraId="7FA816BE">
            <w:pPr>
              <w:pStyle w:val="18"/>
              <w:snapToGrid w:val="0"/>
              <w:jc w:val="center"/>
              <w:rPr>
                <w:rFonts w:hint="eastAsia" w:ascii="宋体" w:hAnsi="宋体" w:eastAsia="宋体" w:cs="宋体"/>
                <w:sz w:val="22"/>
              </w:rPr>
            </w:pPr>
            <w:r>
              <w:rPr>
                <w:rFonts w:hint="eastAsia" w:ascii="宋体" w:hAnsi="宋体" w:eastAsia="宋体" w:cs="宋体"/>
                <w:sz w:val="22"/>
              </w:rPr>
              <w:t>主要采购者</w:t>
            </w:r>
          </w:p>
        </w:tc>
        <w:tc>
          <w:tcPr>
            <w:tcW w:w="2672" w:type="dxa"/>
            <w:tcBorders>
              <w:top w:val="single" w:color="auto" w:sz="4" w:space="0"/>
              <w:left w:val="nil"/>
              <w:bottom w:val="nil"/>
              <w:right w:val="nil"/>
            </w:tcBorders>
            <w:vAlign w:val="center"/>
          </w:tcPr>
          <w:p w14:paraId="2204129A">
            <w:pPr>
              <w:pStyle w:val="18"/>
              <w:snapToGrid w:val="0"/>
              <w:jc w:val="right"/>
              <w:rPr>
                <w:rFonts w:hint="eastAsia" w:ascii="宋体" w:hAnsi="宋体" w:eastAsia="宋体" w:cs="宋体"/>
                <w:sz w:val="22"/>
              </w:rPr>
            </w:pPr>
            <w:r>
              <w:rPr>
                <w:rFonts w:hint="eastAsia" w:ascii="宋体" w:hAnsi="宋体" w:eastAsia="宋体" w:cs="宋体"/>
                <w:sz w:val="22"/>
              </w:rPr>
              <w:t>65.71%（69/105）</w:t>
            </w:r>
          </w:p>
        </w:tc>
        <w:tc>
          <w:tcPr>
            <w:tcW w:w="2359" w:type="dxa"/>
            <w:tcBorders>
              <w:top w:val="single" w:color="auto" w:sz="4" w:space="0"/>
              <w:left w:val="nil"/>
              <w:bottom w:val="nil"/>
              <w:right w:val="nil"/>
            </w:tcBorders>
            <w:vAlign w:val="center"/>
          </w:tcPr>
          <w:p w14:paraId="566CCA00">
            <w:pPr>
              <w:pStyle w:val="18"/>
              <w:snapToGrid w:val="0"/>
              <w:jc w:val="center"/>
              <w:rPr>
                <w:rFonts w:hint="eastAsia" w:ascii="宋体" w:hAnsi="宋体" w:eastAsia="宋体" w:cs="宋体"/>
                <w:sz w:val="22"/>
              </w:rPr>
            </w:pPr>
            <w:r>
              <w:rPr>
                <w:rFonts w:hint="eastAsia" w:ascii="宋体" w:hAnsi="宋体" w:eastAsia="宋体" w:cs="宋体"/>
                <w:sz w:val="22"/>
              </w:rPr>
              <w:t>20.95%</w:t>
            </w:r>
          </w:p>
        </w:tc>
        <w:tc>
          <w:tcPr>
            <w:tcW w:w="2359" w:type="dxa"/>
            <w:tcBorders>
              <w:top w:val="single" w:color="auto" w:sz="4" w:space="0"/>
              <w:left w:val="nil"/>
              <w:bottom w:val="nil"/>
              <w:right w:val="nil"/>
            </w:tcBorders>
            <w:vAlign w:val="center"/>
          </w:tcPr>
          <w:p w14:paraId="10D18DC9">
            <w:pPr>
              <w:pStyle w:val="18"/>
              <w:snapToGrid w:val="0"/>
              <w:jc w:val="center"/>
              <w:rPr>
                <w:rFonts w:hint="eastAsia" w:ascii="宋体" w:hAnsi="宋体" w:eastAsia="宋体" w:cs="宋体"/>
                <w:sz w:val="22"/>
              </w:rPr>
            </w:pPr>
            <w:r>
              <w:rPr>
                <w:rFonts w:hint="eastAsia" w:ascii="宋体" w:hAnsi="宋体" w:eastAsia="宋体" w:cs="宋体"/>
                <w:sz w:val="22"/>
              </w:rPr>
              <w:t>13.34%</w:t>
            </w:r>
          </w:p>
        </w:tc>
      </w:tr>
      <w:tr w14:paraId="1CD9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521" w:hRule="atLeast"/>
        </w:trPr>
        <w:tc>
          <w:tcPr>
            <w:tcW w:w="1668" w:type="dxa"/>
            <w:tcBorders>
              <w:top w:val="nil"/>
              <w:left w:val="nil"/>
              <w:bottom w:val="nil"/>
              <w:right w:val="nil"/>
            </w:tcBorders>
            <w:vAlign w:val="center"/>
          </w:tcPr>
          <w:p w14:paraId="7FE1945C">
            <w:pPr>
              <w:pStyle w:val="18"/>
              <w:snapToGrid w:val="0"/>
              <w:jc w:val="center"/>
              <w:rPr>
                <w:rFonts w:hint="eastAsia" w:ascii="宋体" w:hAnsi="宋体" w:eastAsia="宋体" w:cs="宋体"/>
                <w:sz w:val="22"/>
              </w:rPr>
            </w:pPr>
            <w:r>
              <w:rPr>
                <w:rFonts w:hint="eastAsia" w:ascii="宋体" w:hAnsi="宋体" w:eastAsia="宋体" w:cs="宋体"/>
                <w:sz w:val="22"/>
              </w:rPr>
              <w:t>偶尔采购者</w:t>
            </w:r>
          </w:p>
        </w:tc>
        <w:tc>
          <w:tcPr>
            <w:tcW w:w="2672" w:type="dxa"/>
            <w:tcBorders>
              <w:top w:val="nil"/>
              <w:left w:val="nil"/>
              <w:bottom w:val="nil"/>
              <w:right w:val="nil"/>
            </w:tcBorders>
            <w:vAlign w:val="center"/>
          </w:tcPr>
          <w:p w14:paraId="35287BD2">
            <w:pPr>
              <w:pStyle w:val="18"/>
              <w:snapToGrid w:val="0"/>
              <w:jc w:val="right"/>
              <w:rPr>
                <w:rFonts w:hint="eastAsia" w:ascii="宋体" w:hAnsi="宋体" w:eastAsia="宋体" w:cs="宋体"/>
                <w:sz w:val="22"/>
              </w:rPr>
            </w:pPr>
            <w:r>
              <w:rPr>
                <w:rFonts w:hint="eastAsia" w:ascii="宋体" w:hAnsi="宋体" w:eastAsia="宋体" w:cs="宋体"/>
                <w:sz w:val="22"/>
              </w:rPr>
              <w:t>51.81%（43/83）</w:t>
            </w:r>
          </w:p>
        </w:tc>
        <w:tc>
          <w:tcPr>
            <w:tcW w:w="2359" w:type="dxa"/>
            <w:tcBorders>
              <w:top w:val="nil"/>
              <w:left w:val="nil"/>
              <w:bottom w:val="nil"/>
              <w:right w:val="nil"/>
            </w:tcBorders>
            <w:vAlign w:val="center"/>
          </w:tcPr>
          <w:p w14:paraId="5832620D">
            <w:pPr>
              <w:pStyle w:val="18"/>
              <w:snapToGrid w:val="0"/>
              <w:jc w:val="center"/>
              <w:rPr>
                <w:rFonts w:hint="eastAsia" w:ascii="宋体" w:hAnsi="宋体" w:eastAsia="宋体" w:cs="宋体"/>
                <w:sz w:val="22"/>
              </w:rPr>
            </w:pPr>
            <w:r>
              <w:rPr>
                <w:rFonts w:hint="eastAsia" w:ascii="宋体" w:hAnsi="宋体" w:eastAsia="宋体" w:cs="宋体"/>
                <w:sz w:val="22"/>
              </w:rPr>
              <w:t>27.71%</w:t>
            </w:r>
          </w:p>
        </w:tc>
        <w:tc>
          <w:tcPr>
            <w:tcW w:w="2359" w:type="dxa"/>
            <w:tcBorders>
              <w:top w:val="nil"/>
              <w:left w:val="nil"/>
              <w:bottom w:val="nil"/>
              <w:right w:val="nil"/>
            </w:tcBorders>
            <w:vAlign w:val="center"/>
          </w:tcPr>
          <w:p w14:paraId="6277C9A8">
            <w:pPr>
              <w:pStyle w:val="18"/>
              <w:snapToGrid w:val="0"/>
              <w:jc w:val="center"/>
              <w:rPr>
                <w:rFonts w:hint="eastAsia" w:ascii="宋体" w:hAnsi="宋体" w:eastAsia="宋体" w:cs="宋体"/>
                <w:sz w:val="22"/>
              </w:rPr>
            </w:pPr>
            <w:r>
              <w:rPr>
                <w:rFonts w:hint="eastAsia" w:ascii="宋体" w:hAnsi="宋体" w:eastAsia="宋体" w:cs="宋体"/>
                <w:sz w:val="22"/>
              </w:rPr>
              <w:t>20.48%</w:t>
            </w:r>
          </w:p>
        </w:tc>
      </w:tr>
      <w:tr w14:paraId="438E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531" w:hRule="atLeast"/>
        </w:trPr>
        <w:tc>
          <w:tcPr>
            <w:tcW w:w="1668" w:type="dxa"/>
            <w:tcBorders>
              <w:top w:val="nil"/>
              <w:left w:val="nil"/>
              <w:bottom w:val="single" w:color="auto" w:sz="12" w:space="0"/>
              <w:right w:val="nil"/>
            </w:tcBorders>
            <w:vAlign w:val="center"/>
          </w:tcPr>
          <w:p w14:paraId="1EDBFD01">
            <w:pPr>
              <w:pStyle w:val="18"/>
              <w:snapToGrid w:val="0"/>
              <w:jc w:val="center"/>
              <w:rPr>
                <w:rFonts w:hint="eastAsia" w:ascii="宋体" w:hAnsi="宋体" w:eastAsia="宋体" w:cs="宋体"/>
                <w:sz w:val="22"/>
              </w:rPr>
            </w:pPr>
            <w:r>
              <w:rPr>
                <w:rFonts w:hint="eastAsia" w:ascii="宋体" w:hAnsi="宋体" w:eastAsia="宋体" w:cs="宋体"/>
                <w:sz w:val="22"/>
              </w:rPr>
              <w:t>非采购者</w:t>
            </w:r>
          </w:p>
        </w:tc>
        <w:tc>
          <w:tcPr>
            <w:tcW w:w="2672" w:type="dxa"/>
            <w:tcBorders>
              <w:top w:val="nil"/>
              <w:left w:val="nil"/>
              <w:bottom w:val="single" w:color="auto" w:sz="12" w:space="0"/>
              <w:right w:val="nil"/>
            </w:tcBorders>
            <w:vAlign w:val="center"/>
          </w:tcPr>
          <w:p w14:paraId="169D9467">
            <w:pPr>
              <w:pStyle w:val="18"/>
              <w:snapToGrid w:val="0"/>
              <w:jc w:val="right"/>
              <w:rPr>
                <w:rFonts w:hint="eastAsia" w:ascii="宋体" w:hAnsi="宋体" w:eastAsia="宋体" w:cs="宋体"/>
                <w:sz w:val="22"/>
              </w:rPr>
            </w:pPr>
            <w:r>
              <w:rPr>
                <w:rFonts w:hint="eastAsia" w:ascii="宋体" w:hAnsi="宋体" w:eastAsia="宋体" w:cs="宋体"/>
                <w:sz w:val="22"/>
              </w:rPr>
              <w:t>39.13%（9/23）</w:t>
            </w:r>
          </w:p>
        </w:tc>
        <w:tc>
          <w:tcPr>
            <w:tcW w:w="2359" w:type="dxa"/>
            <w:tcBorders>
              <w:top w:val="nil"/>
              <w:left w:val="nil"/>
              <w:bottom w:val="single" w:color="auto" w:sz="12" w:space="0"/>
              <w:right w:val="nil"/>
            </w:tcBorders>
            <w:vAlign w:val="center"/>
          </w:tcPr>
          <w:p w14:paraId="50418035">
            <w:pPr>
              <w:pStyle w:val="18"/>
              <w:snapToGrid w:val="0"/>
              <w:jc w:val="center"/>
              <w:rPr>
                <w:rFonts w:hint="eastAsia" w:ascii="宋体" w:hAnsi="宋体" w:eastAsia="宋体" w:cs="宋体"/>
                <w:sz w:val="22"/>
              </w:rPr>
            </w:pPr>
            <w:r>
              <w:rPr>
                <w:rFonts w:hint="eastAsia" w:ascii="宋体" w:hAnsi="宋体" w:eastAsia="宋体" w:cs="宋体"/>
                <w:sz w:val="22"/>
              </w:rPr>
              <w:t>34.78%</w:t>
            </w:r>
          </w:p>
        </w:tc>
        <w:tc>
          <w:tcPr>
            <w:tcW w:w="2359" w:type="dxa"/>
            <w:tcBorders>
              <w:top w:val="nil"/>
              <w:left w:val="nil"/>
              <w:bottom w:val="single" w:color="auto" w:sz="12" w:space="0"/>
              <w:right w:val="nil"/>
            </w:tcBorders>
            <w:vAlign w:val="center"/>
          </w:tcPr>
          <w:p w14:paraId="67C66AF6">
            <w:pPr>
              <w:pStyle w:val="18"/>
              <w:snapToGrid w:val="0"/>
              <w:jc w:val="center"/>
              <w:rPr>
                <w:rFonts w:hint="eastAsia" w:ascii="宋体" w:hAnsi="宋体" w:eastAsia="宋体" w:cs="宋体"/>
                <w:sz w:val="22"/>
              </w:rPr>
            </w:pPr>
            <w:r>
              <w:rPr>
                <w:rFonts w:hint="eastAsia" w:ascii="宋体" w:hAnsi="宋体" w:eastAsia="宋体" w:cs="宋体"/>
                <w:sz w:val="22"/>
              </w:rPr>
              <w:t>26.09%</w:t>
            </w:r>
          </w:p>
        </w:tc>
      </w:tr>
    </w:tbl>
    <w:p w14:paraId="06098097">
      <w:pPr>
        <w:pStyle w:val="18"/>
        <w:rPr>
          <w:rFonts w:hint="eastAsia" w:ascii="宋体" w:hAnsi="宋体" w:eastAsia="宋体" w:cs="宋体"/>
          <w:i/>
          <w:iCs/>
          <w:lang w:eastAsia="zh-CN"/>
        </w:rPr>
      </w:pPr>
    </w:p>
    <w:p w14:paraId="3751330A">
      <w:pPr>
        <w:pStyle w:val="18"/>
        <w:ind w:firstLine="480" w:firstLineChars="200"/>
        <w:rPr>
          <w:rFonts w:hint="eastAsia" w:ascii="宋体" w:hAnsi="宋体" w:eastAsia="宋体" w:cs="宋体"/>
          <w:sz w:val="24"/>
          <w:szCs w:val="24"/>
        </w:rPr>
      </w:pPr>
      <w:r>
        <w:rPr>
          <w:rFonts w:hint="eastAsia" w:ascii="宋体" w:hAnsi="宋体" w:eastAsia="宋体" w:cs="宋体"/>
          <w:sz w:val="24"/>
          <w:szCs w:val="24"/>
        </w:rPr>
        <w:t>家庭食品采购者与参与社区食品安全共治意愿的关系，本质是 “个人责任与公共利益的绑定关系”：其身份决定了 “食品安全与自身利益高度相关”，因此天然具备更高的参与动机与信息优势，二者呈现显著正相关</w:t>
      </w:r>
      <w:r>
        <w:rPr>
          <w:rFonts w:hint="eastAsia" w:ascii="宋体" w:hAnsi="宋体" w:eastAsia="宋体" w:cs="宋体"/>
          <w:sz w:val="24"/>
          <w:szCs w:val="24"/>
          <w:lang w:eastAsia="zh-CN"/>
        </w:rPr>
        <w:t>。</w:t>
      </w:r>
      <w:r>
        <w:rPr>
          <w:rFonts w:hint="eastAsia" w:ascii="宋体" w:hAnsi="宋体" w:eastAsia="宋体" w:cs="宋体"/>
          <w:sz w:val="24"/>
          <w:szCs w:val="24"/>
        </w:rPr>
        <w:t>这种关系的核心价值在于：社区食品安全共治无需 “从零培养居民意愿”，只需聚焦采购者这一 “天然核心群体”，通过 “降低门槛、强化保障、闭环反馈” 激活其意愿，即可将 “家庭健康诉求” 转化为 “社区共治动力”，最终提升社区食品安全治理的效率与可持续性。</w:t>
      </w:r>
    </w:p>
    <w:p w14:paraId="5EA5987B">
      <w:pPr>
        <w:pStyle w:val="18"/>
        <w:rPr>
          <w:rFonts w:hint="eastAsia" w:ascii="宋体" w:hAnsi="宋体" w:eastAsia="宋体" w:cs="宋体"/>
          <w:b/>
          <w:bCs/>
        </w:rPr>
      </w:pPr>
    </w:p>
    <w:p w14:paraId="5D576373">
      <w:pPr>
        <w:pStyle w:val="18"/>
        <w:rPr>
          <w:rFonts w:hint="eastAsia" w:ascii="宋体" w:hAnsi="宋体" w:eastAsia="宋体" w:cs="宋体"/>
          <w:b/>
          <w:bCs/>
        </w:rPr>
      </w:pPr>
      <w:r>
        <w:rPr>
          <w:rFonts w:hint="eastAsia" w:ascii="宋体" w:hAnsi="宋体" w:eastAsia="宋体" w:cs="宋体"/>
          <w:i w:val="0"/>
          <w:iCs w:val="0"/>
          <w:sz w:val="24"/>
          <w:szCs w:val="24"/>
          <w:lang w:eastAsia="zh-CN"/>
        </w:rPr>
        <w:drawing>
          <wp:anchor distT="0" distB="0" distL="114300" distR="114300" simplePos="0" relativeHeight="251659264" behindDoc="0" locked="0" layoutInCell="1" allowOverlap="1">
            <wp:simplePos x="0" y="0"/>
            <wp:positionH relativeFrom="column">
              <wp:posOffset>648335</wp:posOffset>
            </wp:positionH>
            <wp:positionV relativeFrom="paragraph">
              <wp:posOffset>-378460</wp:posOffset>
            </wp:positionV>
            <wp:extent cx="4149090" cy="3095625"/>
            <wp:effectExtent l="0" t="0" r="11430" b="13335"/>
            <wp:wrapNone/>
            <wp:docPr id="7" name="图片 7"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rt"/>
                    <pic:cNvPicPr>
                      <a:picLocks noChangeAspect="1"/>
                    </pic:cNvPicPr>
                  </pic:nvPicPr>
                  <pic:blipFill>
                    <a:blip r:embed="rId5"/>
                    <a:stretch>
                      <a:fillRect/>
                    </a:stretch>
                  </pic:blipFill>
                  <pic:spPr>
                    <a:xfrm>
                      <a:off x="0" y="0"/>
                      <a:ext cx="4149090" cy="3095625"/>
                    </a:xfrm>
                    <a:prstGeom prst="rect">
                      <a:avLst/>
                    </a:prstGeom>
                  </pic:spPr>
                </pic:pic>
              </a:graphicData>
            </a:graphic>
          </wp:anchor>
        </w:drawing>
      </w:r>
    </w:p>
    <w:p w14:paraId="3E76FD63">
      <w:pPr>
        <w:pStyle w:val="18"/>
        <w:rPr>
          <w:rFonts w:hint="eastAsia" w:ascii="宋体" w:hAnsi="宋体" w:eastAsia="宋体" w:cs="宋体"/>
          <w:b/>
          <w:bCs/>
        </w:rPr>
      </w:pPr>
    </w:p>
    <w:p w14:paraId="6F1A5FFA">
      <w:pPr>
        <w:pStyle w:val="18"/>
        <w:rPr>
          <w:rFonts w:hint="eastAsia" w:ascii="宋体" w:hAnsi="宋体" w:eastAsia="宋体" w:cs="宋体"/>
          <w:b/>
          <w:bCs/>
        </w:rPr>
      </w:pPr>
    </w:p>
    <w:p w14:paraId="49231A72">
      <w:pPr>
        <w:pStyle w:val="18"/>
        <w:jc w:val="center"/>
        <w:rPr>
          <w:rFonts w:hint="eastAsia" w:ascii="宋体" w:hAnsi="宋体" w:eastAsia="宋体" w:cs="宋体"/>
          <w:i w:val="0"/>
          <w:iCs w:val="0"/>
          <w:sz w:val="24"/>
          <w:szCs w:val="24"/>
          <w:lang w:val="en-US" w:eastAsia="zh-CN"/>
        </w:rPr>
      </w:pPr>
    </w:p>
    <w:p w14:paraId="127C7B4F">
      <w:pPr>
        <w:pStyle w:val="18"/>
        <w:jc w:val="center"/>
        <w:rPr>
          <w:rFonts w:hint="eastAsia" w:ascii="宋体" w:hAnsi="宋体" w:eastAsia="宋体" w:cs="宋体"/>
          <w:i w:val="0"/>
          <w:iCs w:val="0"/>
          <w:sz w:val="24"/>
          <w:szCs w:val="24"/>
          <w:lang w:val="en-US" w:eastAsia="zh-CN"/>
        </w:rPr>
      </w:pPr>
    </w:p>
    <w:p w14:paraId="083AC6F9">
      <w:pPr>
        <w:pStyle w:val="18"/>
        <w:jc w:val="center"/>
        <w:rPr>
          <w:rFonts w:hint="eastAsia" w:ascii="宋体" w:hAnsi="宋体" w:eastAsia="宋体" w:cs="宋体"/>
          <w:i w:val="0"/>
          <w:iCs w:val="0"/>
          <w:sz w:val="24"/>
          <w:szCs w:val="24"/>
          <w:lang w:val="en-US" w:eastAsia="zh-CN"/>
        </w:rPr>
      </w:pPr>
    </w:p>
    <w:p w14:paraId="29B71A29">
      <w:pPr>
        <w:pStyle w:val="18"/>
        <w:jc w:val="center"/>
        <w:rPr>
          <w:rFonts w:hint="eastAsia" w:ascii="宋体" w:hAnsi="宋体" w:eastAsia="宋体" w:cs="宋体"/>
          <w:i w:val="0"/>
          <w:iCs w:val="0"/>
          <w:sz w:val="24"/>
          <w:szCs w:val="24"/>
          <w:lang w:val="en-US" w:eastAsia="zh-CN"/>
        </w:rPr>
      </w:pPr>
    </w:p>
    <w:p w14:paraId="07E00929">
      <w:pPr>
        <w:pStyle w:val="18"/>
        <w:jc w:val="center"/>
        <w:rPr>
          <w:rFonts w:hint="eastAsia" w:ascii="宋体" w:hAnsi="宋体" w:eastAsia="宋体" w:cs="宋体"/>
          <w:i w:val="0"/>
          <w:iCs w:val="0"/>
          <w:sz w:val="24"/>
          <w:szCs w:val="24"/>
          <w:lang w:val="en-US" w:eastAsia="zh-CN"/>
        </w:rPr>
      </w:pPr>
    </w:p>
    <w:p w14:paraId="499BAB12">
      <w:pPr>
        <w:pStyle w:val="18"/>
        <w:jc w:val="both"/>
        <w:rPr>
          <w:rFonts w:hint="eastAsia" w:ascii="宋体" w:hAnsi="宋体" w:eastAsia="宋体" w:cs="宋体"/>
          <w:i w:val="0"/>
          <w:iCs w:val="0"/>
          <w:sz w:val="24"/>
          <w:szCs w:val="24"/>
          <w:lang w:val="en-US" w:eastAsia="zh-CN"/>
        </w:rPr>
      </w:pPr>
    </w:p>
    <w:p w14:paraId="0E9C0B1C">
      <w:pPr>
        <w:pStyle w:val="18"/>
        <w:jc w:val="center"/>
        <w:rPr>
          <w:rFonts w:hint="default" w:ascii="宋体" w:hAnsi="宋体" w:eastAsia="宋体" w:cs="宋体"/>
          <w:b w:val="0"/>
          <w:bCs w:val="0"/>
          <w:sz w:val="21"/>
          <w:szCs w:val="21"/>
          <w:lang w:val="en-US" w:eastAsia="zh-CN"/>
        </w:rPr>
      </w:pPr>
      <w:r>
        <w:rPr>
          <w:rFonts w:hint="eastAsia" w:ascii="宋体" w:hAnsi="宋体" w:eastAsia="宋体" w:cs="宋体"/>
          <w:i w:val="0"/>
          <w:iCs w:val="0"/>
          <w:sz w:val="24"/>
          <w:szCs w:val="24"/>
          <w:lang w:val="en-US" w:eastAsia="zh-CN"/>
        </w:rPr>
        <w:t>图</w:t>
      </w:r>
      <w:r>
        <w:rPr>
          <w:rFonts w:hint="eastAsia" w:ascii="宋体" w:hAnsi="宋体" w:eastAsia="宋体" w:cs="宋体"/>
          <w:b w:val="0"/>
          <w:bCs w:val="0"/>
          <w:sz w:val="21"/>
          <w:szCs w:val="21"/>
          <w:lang w:val="en-US" w:eastAsia="zh-CN"/>
        </w:rPr>
        <w:t>4-5 采购角色与共治意愿条形统计图</w:t>
      </w:r>
    </w:p>
    <w:p w14:paraId="4FAC5585">
      <w:pPr>
        <w:pStyle w:val="18"/>
        <w:rPr>
          <w:rFonts w:hint="eastAsia" w:ascii="宋体" w:hAnsi="宋体" w:eastAsia="宋体" w:cs="宋体"/>
          <w:b/>
          <w:bCs/>
        </w:rPr>
      </w:pPr>
    </w:p>
    <w:p w14:paraId="27D8FD3E">
      <w:pPr>
        <w:pStyle w:val="18"/>
        <w:rPr>
          <w:rFonts w:hint="eastAsia" w:ascii="宋体" w:hAnsi="宋体" w:eastAsia="宋体" w:cs="宋体"/>
          <w:sz w:val="24"/>
          <w:szCs w:val="24"/>
          <w:lang w:eastAsia="zh-CN"/>
        </w:rPr>
      </w:pPr>
      <w:r>
        <w:rPr>
          <w:rFonts w:hint="eastAsia" w:ascii="宋体" w:hAnsi="宋体" w:eastAsia="宋体" w:cs="宋体"/>
          <w:b/>
          <w:bCs/>
          <w:sz w:val="24"/>
          <w:szCs w:val="24"/>
        </w:rPr>
        <w:t>核心结论：采购角色越核心，共治意愿越强</w:t>
      </w:r>
      <w:r>
        <w:rPr>
          <w:rFonts w:hint="eastAsia" w:ascii="宋体" w:hAnsi="宋体" w:eastAsia="宋体" w:cs="宋体"/>
          <w:sz w:val="24"/>
          <w:szCs w:val="24"/>
        </w:rPr>
        <w:t>，因主要采购者直接承担家庭食品安全责任，参与动力更足</w:t>
      </w:r>
      <w:r>
        <w:rPr>
          <w:rFonts w:hint="eastAsia" w:ascii="宋体" w:hAnsi="宋体" w:eastAsia="宋体" w:cs="宋体"/>
          <w:sz w:val="24"/>
          <w:szCs w:val="24"/>
          <w:lang w:eastAsia="zh-CN"/>
        </w:rPr>
        <w:t>。</w:t>
      </w:r>
    </w:p>
    <w:p w14:paraId="2474C670">
      <w:pPr>
        <w:pStyle w:val="18"/>
        <w:rPr>
          <w:rFonts w:hint="eastAsia" w:ascii="宋体" w:hAnsi="宋体" w:eastAsia="宋体" w:cs="宋体"/>
          <w:i/>
          <w:iCs/>
          <w:sz w:val="24"/>
          <w:szCs w:val="24"/>
          <w:lang w:eastAsia="zh-CN"/>
        </w:rPr>
      </w:pPr>
    </w:p>
    <w:p w14:paraId="24A6B19B">
      <w:pPr>
        <w:pStyle w:val="5"/>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 xml:space="preserve"> 食品安全问题经历 vs 共治意愿</w:t>
      </w:r>
    </w:p>
    <w:p w14:paraId="6479CD14">
      <w:pPr>
        <w:pStyle w:val="18"/>
        <w:rPr>
          <w:rFonts w:hint="eastAsia" w:ascii="宋体" w:hAnsi="宋体" w:eastAsia="宋体" w:cs="宋体"/>
          <w:sz w:val="24"/>
          <w:szCs w:val="24"/>
        </w:rPr>
      </w:pPr>
      <w:r>
        <w:rPr>
          <w:rFonts w:hint="eastAsia" w:ascii="宋体" w:hAnsi="宋体" w:eastAsia="宋体" w:cs="宋体"/>
          <w:b/>
          <w:bCs/>
          <w:sz w:val="24"/>
          <w:szCs w:val="24"/>
        </w:rPr>
        <w:t>核心结论：有问题经历的居民，共治意愿显著更高</w:t>
      </w:r>
      <w:r>
        <w:rPr>
          <w:rFonts w:hint="eastAsia" w:ascii="宋体" w:hAnsi="宋体" w:eastAsia="宋体" w:cs="宋体"/>
          <w:sz w:val="24"/>
          <w:szCs w:val="24"/>
        </w:rPr>
        <w:t>，不良经历推动其主动参与风险规避：</w:t>
      </w:r>
    </w:p>
    <w:p w14:paraId="618964A3">
      <w:pPr>
        <w:pStyle w:val="18"/>
        <w:numPr>
          <w:ilvl w:val="0"/>
          <w:numId w:val="7"/>
        </w:numPr>
        <w:rPr>
          <w:rFonts w:hint="eastAsia" w:ascii="宋体" w:hAnsi="宋体" w:eastAsia="宋体" w:cs="宋体"/>
          <w:sz w:val="24"/>
          <w:szCs w:val="24"/>
        </w:rPr>
      </w:pPr>
      <w:r>
        <w:rPr>
          <w:rFonts w:hint="eastAsia" w:ascii="宋体" w:hAnsi="宋体" w:eastAsia="宋体" w:cs="宋体"/>
          <w:sz w:val="24"/>
          <w:szCs w:val="24"/>
        </w:rPr>
        <w:t>有问题经历者：愿意参与比例 66.33%（65/98），不愿参与比例 12.24%（12/98）；</w:t>
      </w:r>
    </w:p>
    <w:p w14:paraId="1EEFD059">
      <w:pPr>
        <w:pStyle w:val="18"/>
        <w:numPr>
          <w:ilvl w:val="0"/>
          <w:numId w:val="7"/>
        </w:numPr>
        <w:rPr>
          <w:rFonts w:hint="eastAsia" w:ascii="宋体" w:hAnsi="宋体" w:eastAsia="宋体" w:cs="宋体"/>
          <w:sz w:val="24"/>
          <w:szCs w:val="24"/>
        </w:rPr>
      </w:pPr>
      <w:r>
        <w:rPr>
          <w:rFonts w:hint="eastAsia" w:ascii="宋体" w:hAnsi="宋体" w:eastAsia="宋体" w:cs="宋体"/>
          <w:sz w:val="24"/>
          <w:szCs w:val="24"/>
        </w:rPr>
        <w:t>无问题经历者：愿意参与比例 51.33%（58/113），不愿参与比例 22.12%（25/113）。</w:t>
      </w:r>
    </w:p>
    <w:p w14:paraId="6D69E3F0">
      <w:pPr>
        <w:pStyle w:val="5"/>
        <w:rPr>
          <w:rFonts w:hint="eastAsia" w:ascii="宋体" w:hAnsi="宋体" w:eastAsia="宋体" w:cs="宋体"/>
          <w:sz w:val="24"/>
          <w:szCs w:val="24"/>
        </w:rPr>
      </w:pPr>
      <w:r>
        <w:rPr>
          <w:rFonts w:hint="eastAsia" w:ascii="宋体" w:hAnsi="宋体" w:eastAsia="宋体" w:cs="宋体"/>
          <w:sz w:val="24"/>
          <w:szCs w:val="24"/>
          <w:lang w:val="en-US" w:eastAsia="zh-CN"/>
        </w:rPr>
        <w:t>③</w:t>
      </w:r>
      <w:r>
        <w:rPr>
          <w:rFonts w:hint="eastAsia" w:ascii="宋体" w:hAnsi="宋体" w:eastAsia="宋体" w:cs="宋体"/>
          <w:sz w:val="24"/>
          <w:szCs w:val="24"/>
        </w:rPr>
        <w:t xml:space="preserve"> 年龄 vs 共治意愿</w:t>
      </w:r>
    </w:p>
    <w:p w14:paraId="3B2489D6">
      <w:pPr>
        <w:pStyle w:val="18"/>
        <w:rPr>
          <w:rFonts w:hint="eastAsia" w:ascii="宋体" w:hAnsi="宋体" w:eastAsia="宋体" w:cs="宋体"/>
          <w:sz w:val="21"/>
          <w:szCs w:val="21"/>
          <w:lang w:val="en-US" w:eastAsia="zh-CN"/>
        </w:rPr>
      </w:pPr>
      <w:r>
        <w:rPr>
          <w:rFonts w:hint="eastAsia" w:ascii="宋体" w:hAnsi="宋体" w:eastAsia="宋体" w:cs="宋体"/>
          <w:b/>
          <w:bCs/>
          <w:sz w:val="24"/>
          <w:szCs w:val="24"/>
        </w:rPr>
        <w:t>核心结论：年轻群体（18-30 岁）是共治核心潜力人群</w:t>
      </w:r>
      <w:r>
        <w:rPr>
          <w:rFonts w:hint="eastAsia" w:ascii="宋体" w:hAnsi="宋体" w:eastAsia="宋体" w:cs="宋体"/>
          <w:sz w:val="24"/>
          <w:szCs w:val="24"/>
        </w:rPr>
        <w:t>，年龄越大意愿越低：</w:t>
      </w:r>
    </w:p>
    <w:p w14:paraId="01B69A5D">
      <w:pPr>
        <w:pStyle w:val="18"/>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表4-6 年龄与共治意愿交叉分析表</w:t>
      </w:r>
    </w:p>
    <w:tbl>
      <w:tblPr>
        <w:tblStyle w:val="12"/>
        <w:tblW w:w="10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8" w:type="dxa"/>
          <w:bottom w:w="80" w:type="dxa"/>
          <w:right w:w="128" w:type="dxa"/>
        </w:tblCellMar>
      </w:tblPr>
      <w:tblGrid>
        <w:gridCol w:w="1390"/>
        <w:gridCol w:w="2652"/>
        <w:gridCol w:w="3236"/>
        <w:gridCol w:w="2743"/>
      </w:tblGrid>
      <w:tr w14:paraId="3CA1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1390" w:type="dxa"/>
            <w:tcBorders>
              <w:top w:val="single" w:color="auto" w:sz="12" w:space="0"/>
              <w:left w:val="nil"/>
              <w:bottom w:val="single" w:color="auto" w:sz="4" w:space="0"/>
              <w:right w:val="nil"/>
            </w:tcBorders>
            <w:vAlign w:val="center"/>
          </w:tcPr>
          <w:p w14:paraId="06492CB4">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年龄段</w:t>
            </w:r>
          </w:p>
        </w:tc>
        <w:tc>
          <w:tcPr>
            <w:tcW w:w="2652" w:type="dxa"/>
            <w:tcBorders>
              <w:top w:val="single" w:color="auto" w:sz="12" w:space="0"/>
              <w:left w:val="nil"/>
              <w:bottom w:val="single" w:color="auto" w:sz="4" w:space="0"/>
              <w:right w:val="nil"/>
            </w:tcBorders>
            <w:vAlign w:val="center"/>
          </w:tcPr>
          <w:p w14:paraId="758A4DED">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愿意参与比例</w:t>
            </w:r>
          </w:p>
          <w:p w14:paraId="087B18E9">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（非常+比较）</w:t>
            </w:r>
          </w:p>
        </w:tc>
        <w:tc>
          <w:tcPr>
            <w:tcW w:w="3236" w:type="dxa"/>
            <w:tcBorders>
              <w:top w:val="single" w:color="auto" w:sz="12" w:space="0"/>
              <w:left w:val="nil"/>
              <w:bottom w:val="single" w:color="auto" w:sz="4" w:space="0"/>
              <w:right w:val="nil"/>
            </w:tcBorders>
            <w:vAlign w:val="center"/>
          </w:tcPr>
          <w:p w14:paraId="057E996B">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数据支撑（基于总样本推导）</w:t>
            </w:r>
          </w:p>
        </w:tc>
        <w:tc>
          <w:tcPr>
            <w:tcW w:w="2743" w:type="dxa"/>
            <w:tcBorders>
              <w:top w:val="single" w:color="auto" w:sz="12" w:space="0"/>
              <w:left w:val="nil"/>
              <w:bottom w:val="single" w:color="auto" w:sz="4" w:space="0"/>
              <w:right w:val="nil"/>
            </w:tcBorders>
            <w:vAlign w:val="center"/>
          </w:tcPr>
          <w:p w14:paraId="324BA23C">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核心原因</w:t>
            </w:r>
          </w:p>
        </w:tc>
      </w:tr>
      <w:tr w14:paraId="79DD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390" w:type="dxa"/>
            <w:tcBorders>
              <w:top w:val="single" w:color="auto" w:sz="4" w:space="0"/>
              <w:left w:val="nil"/>
              <w:bottom w:val="nil"/>
              <w:right w:val="nil"/>
            </w:tcBorders>
            <w:vAlign w:val="center"/>
          </w:tcPr>
          <w:p w14:paraId="789AF74B">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18-30 岁</w:t>
            </w:r>
          </w:p>
        </w:tc>
        <w:tc>
          <w:tcPr>
            <w:tcW w:w="2652" w:type="dxa"/>
            <w:tcBorders>
              <w:top w:val="single" w:color="auto" w:sz="4" w:space="0"/>
              <w:left w:val="nil"/>
              <w:bottom w:val="nil"/>
              <w:right w:val="nil"/>
            </w:tcBorders>
            <w:vAlign w:val="center"/>
          </w:tcPr>
          <w:p w14:paraId="33693C00">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68.27%（71/104）</w:t>
            </w:r>
          </w:p>
        </w:tc>
        <w:tc>
          <w:tcPr>
            <w:tcW w:w="3236" w:type="dxa"/>
            <w:tcBorders>
              <w:top w:val="single" w:color="auto" w:sz="4" w:space="0"/>
              <w:left w:val="nil"/>
              <w:bottom w:val="nil"/>
              <w:right w:val="nil"/>
            </w:tcBorders>
            <w:vAlign w:val="center"/>
          </w:tcPr>
          <w:p w14:paraId="4B5FC132">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占总愿意人数的 57.72%</w:t>
            </w:r>
          </w:p>
        </w:tc>
        <w:tc>
          <w:tcPr>
            <w:tcW w:w="2743" w:type="dxa"/>
            <w:tcBorders>
              <w:top w:val="single" w:color="auto" w:sz="4" w:space="0"/>
              <w:left w:val="nil"/>
              <w:bottom w:val="nil"/>
              <w:right w:val="nil"/>
            </w:tcBorders>
            <w:vAlign w:val="center"/>
          </w:tcPr>
          <w:p w14:paraId="6C6EFDC2">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接受新事物能力强，维权意识高</w:t>
            </w:r>
          </w:p>
        </w:tc>
      </w:tr>
      <w:tr w14:paraId="50C6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390" w:type="dxa"/>
            <w:tcBorders>
              <w:top w:val="nil"/>
              <w:left w:val="nil"/>
              <w:bottom w:val="nil"/>
              <w:right w:val="nil"/>
            </w:tcBorders>
            <w:vAlign w:val="center"/>
          </w:tcPr>
          <w:p w14:paraId="77E0A5A1">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31-45 岁</w:t>
            </w:r>
          </w:p>
        </w:tc>
        <w:tc>
          <w:tcPr>
            <w:tcW w:w="2652" w:type="dxa"/>
            <w:tcBorders>
              <w:top w:val="nil"/>
              <w:left w:val="nil"/>
              <w:bottom w:val="nil"/>
              <w:right w:val="nil"/>
            </w:tcBorders>
            <w:vAlign w:val="center"/>
          </w:tcPr>
          <w:p w14:paraId="12D577FE">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54.55%（36/66）</w:t>
            </w:r>
          </w:p>
        </w:tc>
        <w:tc>
          <w:tcPr>
            <w:tcW w:w="3236" w:type="dxa"/>
            <w:tcBorders>
              <w:top w:val="nil"/>
              <w:left w:val="nil"/>
              <w:bottom w:val="nil"/>
              <w:right w:val="nil"/>
            </w:tcBorders>
            <w:vAlign w:val="center"/>
          </w:tcPr>
          <w:p w14:paraId="3D5945BD">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占总愿意人数的 29.27%</w:t>
            </w:r>
          </w:p>
        </w:tc>
        <w:tc>
          <w:tcPr>
            <w:tcW w:w="2743" w:type="dxa"/>
            <w:tcBorders>
              <w:top w:val="nil"/>
              <w:left w:val="nil"/>
              <w:bottom w:val="nil"/>
              <w:right w:val="nil"/>
            </w:tcBorders>
            <w:vAlign w:val="center"/>
          </w:tcPr>
          <w:p w14:paraId="2EC2433B">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家庭责任重，参与精力有限</w:t>
            </w:r>
          </w:p>
        </w:tc>
      </w:tr>
      <w:tr w14:paraId="4775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390" w:type="dxa"/>
            <w:tcBorders>
              <w:top w:val="nil"/>
              <w:left w:val="nil"/>
              <w:bottom w:val="single" w:color="auto" w:sz="12" w:space="0"/>
              <w:right w:val="nil"/>
            </w:tcBorders>
            <w:vAlign w:val="center"/>
          </w:tcPr>
          <w:p w14:paraId="29599206">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46 岁及以上</w:t>
            </w:r>
          </w:p>
        </w:tc>
        <w:tc>
          <w:tcPr>
            <w:tcW w:w="2652" w:type="dxa"/>
            <w:tcBorders>
              <w:top w:val="nil"/>
              <w:left w:val="nil"/>
              <w:bottom w:val="single" w:color="auto" w:sz="12" w:space="0"/>
              <w:right w:val="nil"/>
            </w:tcBorders>
            <w:vAlign w:val="center"/>
          </w:tcPr>
          <w:p w14:paraId="0AABC4D0">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32.14%（8/25）</w:t>
            </w:r>
          </w:p>
        </w:tc>
        <w:tc>
          <w:tcPr>
            <w:tcW w:w="3236" w:type="dxa"/>
            <w:tcBorders>
              <w:top w:val="nil"/>
              <w:left w:val="nil"/>
              <w:bottom w:val="single" w:color="auto" w:sz="12" w:space="0"/>
              <w:right w:val="nil"/>
            </w:tcBorders>
            <w:vAlign w:val="center"/>
          </w:tcPr>
          <w:p w14:paraId="270C76FC">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占总愿意人数的 6.50%</w:t>
            </w:r>
          </w:p>
        </w:tc>
        <w:tc>
          <w:tcPr>
            <w:tcW w:w="2743" w:type="dxa"/>
            <w:tcBorders>
              <w:top w:val="nil"/>
              <w:left w:val="nil"/>
              <w:bottom w:val="single" w:color="auto" w:sz="12" w:space="0"/>
              <w:right w:val="nil"/>
            </w:tcBorders>
            <w:vAlign w:val="center"/>
          </w:tcPr>
          <w:p w14:paraId="4DA84AE2">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传统观念强，依赖监管部门</w:t>
            </w:r>
          </w:p>
        </w:tc>
      </w:tr>
    </w:tbl>
    <w:p w14:paraId="17BF043E">
      <w:pPr>
        <w:pStyle w:val="3"/>
        <w:ind w:left="0" w:leftChars="0"/>
        <w:outlineLvl w:val="9"/>
        <w:rPr>
          <w:rFonts w:hint="eastAsia" w:ascii="宋体" w:hAnsi="宋体" w:eastAsia="宋体" w:cs="宋体"/>
          <w:b/>
          <w:bCs/>
          <w:sz w:val="24"/>
          <w:szCs w:val="24"/>
          <w:lang w:val="en-US" w:eastAsia="zh-CN"/>
        </w:rPr>
      </w:pPr>
    </w:p>
    <w:p w14:paraId="6C76FF93">
      <w:pPr>
        <w:pStyle w:val="4"/>
        <w:ind w:left="0" w:leftChars="0"/>
        <w:outlineLvl w:val="1"/>
        <w:rPr>
          <w:rFonts w:hint="eastAsia" w:ascii="黑体" w:hAnsi="黑体" w:eastAsia="黑体" w:cs="黑体"/>
          <w:b/>
          <w:bCs/>
          <w:sz w:val="30"/>
          <w:szCs w:val="30"/>
          <w:lang w:val="en-US" w:eastAsia="zh-CN"/>
        </w:rPr>
      </w:pPr>
      <w:bookmarkStart w:id="16" w:name="_Toc3205"/>
      <w:r>
        <w:rPr>
          <w:rFonts w:hint="eastAsia" w:ascii="黑体" w:hAnsi="黑体" w:eastAsia="黑体" w:cs="黑体"/>
          <w:b/>
          <w:bCs/>
          <w:sz w:val="30"/>
          <w:szCs w:val="30"/>
          <w:lang w:val="en-US" w:eastAsia="zh-CN"/>
        </w:rPr>
        <w:t>4.4  AI 赋能食品安全的认知、使用意愿与功能需求</w:t>
      </w:r>
      <w:bookmarkEnd w:id="16"/>
    </w:p>
    <w:p w14:paraId="12404568">
      <w:pPr>
        <w:pStyle w:val="4"/>
        <w:ind w:left="0" w:leftChars="0"/>
        <w:outlineLvl w:val="1"/>
        <w:rPr>
          <w:rFonts w:hint="eastAsia" w:ascii="黑体" w:hAnsi="黑体" w:eastAsia="黑体" w:cs="黑体"/>
          <w:b/>
          <w:bCs/>
          <w:sz w:val="30"/>
          <w:szCs w:val="30"/>
          <w:lang w:val="en-US" w:eastAsia="zh-CN"/>
        </w:rPr>
      </w:pPr>
      <w:bookmarkStart w:id="17" w:name="_Toc24467"/>
      <w:r>
        <w:rPr>
          <w:rFonts w:hint="eastAsia" w:ascii="黑体" w:hAnsi="黑体" w:eastAsia="黑体" w:cs="黑体"/>
          <w:b/>
          <w:bCs/>
          <w:sz w:val="30"/>
          <w:szCs w:val="30"/>
          <w:lang w:val="en-US" w:eastAsia="zh-CN"/>
        </w:rPr>
        <w:t>4.4.1 AI 认知水平</w:t>
      </w:r>
      <w:bookmarkEnd w:id="17"/>
    </w:p>
    <w:p w14:paraId="35085B47">
      <w:pPr>
        <w:pStyle w:val="18"/>
        <w:rPr>
          <w:rFonts w:hint="eastAsia" w:ascii="宋体" w:hAnsi="宋体" w:eastAsia="宋体" w:cs="宋体"/>
          <w:sz w:val="24"/>
          <w:szCs w:val="24"/>
        </w:rPr>
      </w:pPr>
      <w:r>
        <w:rPr>
          <w:rFonts w:hint="eastAsia" w:ascii="宋体" w:hAnsi="宋体" w:eastAsia="宋体" w:cs="宋体"/>
          <w:sz w:val="24"/>
          <w:szCs w:val="24"/>
        </w:rPr>
        <w:t>居民对 “AI + 食品安全” 的认知度偏低，是推广的核心障碍：</w:t>
      </w:r>
    </w:p>
    <w:p w14:paraId="0DD3BAA2">
      <w:pPr>
        <w:pStyle w:val="18"/>
        <w:numPr>
          <w:ilvl w:val="0"/>
          <w:numId w:val="8"/>
        </w:numPr>
        <w:rPr>
          <w:rFonts w:hint="eastAsia" w:ascii="宋体" w:hAnsi="宋体" w:eastAsia="宋体" w:cs="宋体"/>
          <w:sz w:val="24"/>
          <w:szCs w:val="24"/>
        </w:rPr>
      </w:pPr>
      <w:r>
        <w:rPr>
          <w:rFonts w:hint="eastAsia" w:ascii="宋体" w:hAnsi="宋体" w:eastAsia="宋体" w:cs="宋体"/>
          <w:sz w:val="24"/>
          <w:szCs w:val="24"/>
        </w:rPr>
        <w:t>认知不足：不太了解（79 人，37.44%）+ 完全不了解（40 人，18.96%）</w:t>
      </w:r>
    </w:p>
    <w:p w14:paraId="12F68710">
      <w:pPr>
        <w:pStyle w:val="18"/>
        <w:numPr>
          <w:ilvl w:val="0"/>
          <w:numId w:val="8"/>
        </w:numPr>
        <w:rPr>
          <w:rFonts w:hint="eastAsia" w:ascii="宋体" w:hAnsi="宋体" w:eastAsia="宋体" w:cs="宋体"/>
          <w:sz w:val="24"/>
          <w:szCs w:val="24"/>
        </w:rPr>
      </w:pPr>
      <w:r>
        <w:rPr>
          <w:rFonts w:hint="eastAsia" w:ascii="宋体" w:hAnsi="宋体" w:eastAsia="宋体" w:cs="宋体"/>
          <w:sz w:val="24"/>
          <w:szCs w:val="24"/>
        </w:rPr>
        <w:t>有一定认知：一般了解（64 人，30.33%）；</w:t>
      </w:r>
    </w:p>
    <w:p w14:paraId="05A8A897">
      <w:pPr>
        <w:pStyle w:val="18"/>
        <w:numPr>
          <w:ilvl w:val="0"/>
          <w:numId w:val="8"/>
        </w:numPr>
        <w:rPr>
          <w:rFonts w:hint="eastAsia" w:ascii="宋体" w:hAnsi="宋体" w:eastAsia="宋体" w:cs="宋体"/>
          <w:sz w:val="24"/>
          <w:szCs w:val="24"/>
        </w:rPr>
      </w:pPr>
      <w:r>
        <w:rPr>
          <w:rFonts w:hint="eastAsia" w:ascii="宋体" w:hAnsi="宋体" w:eastAsia="宋体" w:cs="宋体"/>
          <w:sz w:val="24"/>
          <w:szCs w:val="24"/>
        </w:rPr>
        <w:t>深度认知：非常了解（28 人，13.27%）。</w:t>
      </w:r>
    </w:p>
    <w:p w14:paraId="46661436">
      <w:pPr>
        <w:pStyle w:val="18"/>
        <w:numPr>
          <w:numId w:val="0"/>
        </w:numPr>
        <w:spacing w:before="120" w:after="120" w:line="288" w:lineRule="auto"/>
        <w:jc w:val="left"/>
        <w:rPr>
          <w:rFonts w:hint="eastAsia" w:ascii="宋体" w:hAnsi="宋体" w:eastAsia="宋体" w:cs="宋体"/>
          <w:sz w:val="24"/>
          <w:szCs w:val="24"/>
        </w:rPr>
      </w:pPr>
    </w:p>
    <w:p w14:paraId="43C201A2">
      <w:pPr>
        <w:pStyle w:val="18"/>
        <w:numPr>
          <w:numId w:val="0"/>
        </w:numPr>
        <w:spacing w:before="120" w:after="120" w:line="288" w:lineRule="auto"/>
        <w:jc w:val="left"/>
        <w:rPr>
          <w:rFonts w:hint="eastAsia" w:ascii="宋体" w:hAnsi="宋体" w:eastAsia="宋体" w:cs="宋体"/>
          <w:sz w:val="24"/>
          <w:szCs w:val="24"/>
        </w:rPr>
      </w:pPr>
    </w:p>
    <w:p w14:paraId="61B878F6">
      <w:pPr>
        <w:pStyle w:val="18"/>
        <w:numPr>
          <w:numId w:val="0"/>
        </w:numPr>
        <w:spacing w:before="120" w:after="120" w:line="288" w:lineRule="auto"/>
        <w:jc w:val="left"/>
        <w:rPr>
          <w:rFonts w:hint="eastAsia" w:ascii="宋体" w:hAnsi="宋体" w:eastAsia="宋体" w:cs="宋体"/>
          <w:sz w:val="24"/>
          <w:szCs w:val="24"/>
        </w:rPr>
      </w:pPr>
    </w:p>
    <w:p w14:paraId="6C0963F2">
      <w:pPr>
        <w:pStyle w:val="18"/>
        <w:numPr>
          <w:numId w:val="0"/>
        </w:numPr>
        <w:spacing w:before="120" w:after="120" w:line="288" w:lineRule="auto"/>
        <w:jc w:val="left"/>
        <w:rPr>
          <w:rFonts w:hint="eastAsia" w:ascii="宋体" w:hAnsi="宋体" w:eastAsia="宋体" w:cs="宋体"/>
          <w:sz w:val="24"/>
          <w:szCs w:val="24"/>
        </w:rPr>
      </w:pPr>
    </w:p>
    <w:p w14:paraId="098FCB44">
      <w:pPr>
        <w:pStyle w:val="18"/>
        <w:numPr>
          <w:numId w:val="0"/>
        </w:numPr>
        <w:spacing w:before="120" w:after="120" w:line="288" w:lineRule="auto"/>
        <w:jc w:val="left"/>
        <w:rPr>
          <w:rFonts w:hint="eastAsia" w:ascii="宋体" w:hAnsi="宋体" w:eastAsia="宋体" w:cs="宋体"/>
          <w:sz w:val="24"/>
          <w:szCs w:val="24"/>
        </w:rPr>
      </w:pPr>
    </w:p>
    <w:p w14:paraId="2D58FF13">
      <w:pPr>
        <w:pStyle w:val="18"/>
        <w:numPr>
          <w:numId w:val="0"/>
        </w:numPr>
        <w:spacing w:before="120" w:after="120" w:line="288" w:lineRule="auto"/>
        <w:jc w:val="left"/>
        <w:rPr>
          <w:rFonts w:hint="eastAsia" w:ascii="宋体" w:hAnsi="宋体" w:eastAsia="宋体" w:cs="宋体"/>
          <w:sz w:val="24"/>
          <w:szCs w:val="24"/>
        </w:rPr>
      </w:pPr>
    </w:p>
    <w:p w14:paraId="2CFF7017">
      <w:pPr>
        <w:pStyle w:val="18"/>
        <w:numPr>
          <w:numId w:val="0"/>
        </w:numPr>
        <w:spacing w:before="120" w:after="120" w:line="288" w:lineRule="auto"/>
        <w:jc w:val="left"/>
        <w:rPr>
          <w:rFonts w:hint="eastAsia" w:ascii="宋体" w:hAnsi="宋体" w:eastAsia="宋体" w:cs="宋体"/>
          <w:sz w:val="24"/>
          <w:szCs w:val="24"/>
        </w:rPr>
      </w:pPr>
    </w:p>
    <w:p w14:paraId="00816CDF">
      <w:pPr>
        <w:pStyle w:val="18"/>
        <w:numPr>
          <w:numId w:val="0"/>
        </w:numPr>
        <w:spacing w:before="120" w:after="120" w:line="288" w:lineRule="auto"/>
        <w:jc w:val="left"/>
        <w:rPr>
          <w:rFonts w:hint="eastAsia" w:ascii="宋体" w:hAnsi="宋体" w:eastAsia="宋体" w:cs="宋体"/>
          <w:sz w:val="24"/>
          <w:szCs w:val="24"/>
        </w:rPr>
      </w:pPr>
    </w:p>
    <w:p w14:paraId="76DBBE85">
      <w:pPr>
        <w:pStyle w:val="18"/>
        <w:numPr>
          <w:ilvl w:val="0"/>
          <w:numId w:val="0"/>
        </w:numPr>
        <w:ind w:leftChars="0"/>
        <w:rPr>
          <w:rFonts w:hint="eastAsia" w:ascii="宋体" w:hAnsi="宋体" w:eastAsia="宋体" w:cs="宋体"/>
          <w:sz w:val="24"/>
          <w:szCs w:val="24"/>
          <w:lang w:eastAsia="zh-CN"/>
        </w:rPr>
      </w:pPr>
    </w:p>
    <w:p w14:paraId="4D2F1063">
      <w:pPr>
        <w:pStyle w:val="18"/>
        <w:numPr>
          <w:ilvl w:val="0"/>
          <w:numId w:val="0"/>
        </w:numPr>
        <w:ind w:leftChars="0"/>
        <w:rPr>
          <w:rFonts w:hint="eastAsia" w:ascii="宋体" w:hAnsi="宋体" w:eastAsia="宋体" w:cs="宋体"/>
          <w:sz w:val="24"/>
          <w:szCs w:val="24"/>
          <w:lang w:eastAsia="zh-CN"/>
        </w:rPr>
      </w:pPr>
    </w:p>
    <w:p w14:paraId="024B9219">
      <w:pPr>
        <w:pStyle w:val="18"/>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0288" behindDoc="0" locked="0" layoutInCell="1" allowOverlap="1">
            <wp:simplePos x="0" y="0"/>
            <wp:positionH relativeFrom="column">
              <wp:posOffset>869315</wp:posOffset>
            </wp:positionH>
            <wp:positionV relativeFrom="paragraph">
              <wp:posOffset>15240</wp:posOffset>
            </wp:positionV>
            <wp:extent cx="3792855" cy="3161030"/>
            <wp:effectExtent l="0" t="0" r="1905" b="8890"/>
            <wp:wrapNone/>
            <wp:docPr id="10" name="图片 10" descr="175672868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56728689510"/>
                    <pic:cNvPicPr>
                      <a:picLocks noChangeAspect="1"/>
                    </pic:cNvPicPr>
                  </pic:nvPicPr>
                  <pic:blipFill>
                    <a:blip r:embed="rId6"/>
                    <a:srcRect t="11869"/>
                    <a:stretch>
                      <a:fillRect/>
                    </a:stretch>
                  </pic:blipFill>
                  <pic:spPr>
                    <a:xfrm>
                      <a:off x="0" y="0"/>
                      <a:ext cx="3792855" cy="3161030"/>
                    </a:xfrm>
                    <a:prstGeom prst="rect">
                      <a:avLst/>
                    </a:prstGeom>
                  </pic:spPr>
                </pic:pic>
              </a:graphicData>
            </a:graphic>
          </wp:anchor>
        </w:drawing>
      </w:r>
    </w:p>
    <w:p w14:paraId="021430E1">
      <w:pPr>
        <w:pStyle w:val="18"/>
        <w:numPr>
          <w:ilvl w:val="0"/>
          <w:numId w:val="0"/>
        </w:numPr>
        <w:ind w:leftChars="0"/>
        <w:rPr>
          <w:rFonts w:hint="eastAsia" w:ascii="宋体" w:hAnsi="宋体" w:eastAsia="宋体" w:cs="宋体"/>
          <w:sz w:val="24"/>
          <w:szCs w:val="24"/>
          <w:lang w:eastAsia="zh-CN"/>
        </w:rPr>
      </w:pPr>
    </w:p>
    <w:p w14:paraId="0E90860E">
      <w:pPr>
        <w:pStyle w:val="18"/>
        <w:numPr>
          <w:ilvl w:val="0"/>
          <w:numId w:val="0"/>
        </w:numPr>
        <w:ind w:leftChars="0"/>
        <w:rPr>
          <w:rFonts w:hint="eastAsia" w:ascii="宋体" w:hAnsi="宋体" w:eastAsia="宋体" w:cs="宋体"/>
          <w:sz w:val="24"/>
          <w:szCs w:val="24"/>
          <w:lang w:eastAsia="zh-CN"/>
        </w:rPr>
      </w:pPr>
    </w:p>
    <w:p w14:paraId="03D190F4">
      <w:pPr>
        <w:pStyle w:val="18"/>
        <w:numPr>
          <w:ilvl w:val="0"/>
          <w:numId w:val="0"/>
        </w:numPr>
        <w:ind w:leftChars="0"/>
        <w:rPr>
          <w:rFonts w:hint="eastAsia" w:ascii="宋体" w:hAnsi="宋体" w:eastAsia="宋体" w:cs="宋体"/>
          <w:sz w:val="24"/>
          <w:szCs w:val="24"/>
          <w:lang w:eastAsia="zh-CN"/>
        </w:rPr>
      </w:pPr>
    </w:p>
    <w:p w14:paraId="7B6CAFEA">
      <w:pPr>
        <w:pStyle w:val="18"/>
        <w:numPr>
          <w:ilvl w:val="0"/>
          <w:numId w:val="0"/>
        </w:numPr>
        <w:ind w:leftChars="0"/>
        <w:rPr>
          <w:rFonts w:hint="eastAsia" w:ascii="宋体" w:hAnsi="宋体" w:eastAsia="宋体" w:cs="宋体"/>
          <w:sz w:val="24"/>
          <w:szCs w:val="24"/>
          <w:lang w:eastAsia="zh-CN"/>
        </w:rPr>
      </w:pPr>
    </w:p>
    <w:p w14:paraId="3D5F66CA">
      <w:pPr>
        <w:pStyle w:val="18"/>
        <w:numPr>
          <w:ilvl w:val="0"/>
          <w:numId w:val="0"/>
        </w:numPr>
        <w:ind w:leftChars="0"/>
        <w:rPr>
          <w:rFonts w:hint="eastAsia" w:ascii="宋体" w:hAnsi="宋体" w:eastAsia="宋体" w:cs="宋体"/>
          <w:sz w:val="24"/>
          <w:szCs w:val="24"/>
          <w:lang w:eastAsia="zh-CN"/>
        </w:rPr>
      </w:pPr>
    </w:p>
    <w:p w14:paraId="5A1D47DA">
      <w:pPr>
        <w:pStyle w:val="18"/>
        <w:numPr>
          <w:ilvl w:val="0"/>
          <w:numId w:val="0"/>
        </w:numPr>
        <w:ind w:leftChars="0"/>
        <w:rPr>
          <w:rFonts w:hint="eastAsia" w:ascii="宋体" w:hAnsi="宋体" w:eastAsia="宋体" w:cs="宋体"/>
          <w:sz w:val="24"/>
          <w:szCs w:val="24"/>
          <w:lang w:eastAsia="zh-CN"/>
        </w:rPr>
      </w:pPr>
    </w:p>
    <w:p w14:paraId="6A90BB62">
      <w:pPr>
        <w:pStyle w:val="18"/>
        <w:numPr>
          <w:ilvl w:val="0"/>
          <w:numId w:val="0"/>
        </w:numPr>
        <w:ind w:leftChars="0"/>
        <w:rPr>
          <w:rFonts w:hint="eastAsia" w:ascii="宋体" w:hAnsi="宋体" w:eastAsia="宋体" w:cs="宋体"/>
          <w:sz w:val="24"/>
          <w:szCs w:val="24"/>
          <w:lang w:eastAsia="zh-CN"/>
        </w:rPr>
      </w:pPr>
    </w:p>
    <w:p w14:paraId="47964DEC">
      <w:pPr>
        <w:pStyle w:val="18"/>
        <w:numPr>
          <w:ilvl w:val="0"/>
          <w:numId w:val="0"/>
        </w:numPr>
        <w:ind w:leftChars="0"/>
        <w:rPr>
          <w:rFonts w:hint="eastAsia" w:ascii="宋体" w:hAnsi="宋体" w:eastAsia="宋体" w:cs="宋体"/>
          <w:sz w:val="24"/>
          <w:szCs w:val="24"/>
          <w:lang w:eastAsia="zh-CN"/>
        </w:rPr>
      </w:pPr>
    </w:p>
    <w:p w14:paraId="203FD6AB">
      <w:pPr>
        <w:pStyle w:val="18"/>
        <w:numPr>
          <w:ilvl w:val="0"/>
          <w:numId w:val="0"/>
        </w:numPr>
        <w:ind w:leftChars="0"/>
        <w:rPr>
          <w:rFonts w:hint="eastAsia" w:ascii="宋体" w:hAnsi="宋体" w:eastAsia="宋体" w:cs="宋体"/>
          <w:sz w:val="24"/>
          <w:szCs w:val="24"/>
          <w:lang w:eastAsia="zh-CN"/>
        </w:rPr>
      </w:pPr>
    </w:p>
    <w:p w14:paraId="2F779678">
      <w:pPr>
        <w:pStyle w:val="18"/>
        <w:numPr>
          <w:ilvl w:val="0"/>
          <w:numId w:val="0"/>
        </w:numPr>
        <w:ind w:leftChars="0"/>
        <w:rPr>
          <w:rFonts w:hint="eastAsia" w:ascii="宋体" w:hAnsi="宋体" w:eastAsia="宋体" w:cs="宋体"/>
          <w:sz w:val="24"/>
          <w:szCs w:val="24"/>
          <w:lang w:eastAsia="zh-CN"/>
        </w:rPr>
      </w:pPr>
    </w:p>
    <w:p w14:paraId="25A4E50A">
      <w:pPr>
        <w:pStyle w:val="18"/>
        <w:numPr>
          <w:ilvl w:val="0"/>
          <w:numId w:val="0"/>
        </w:numPr>
        <w:ind w:left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 4-7 AI认知情况饼图</w:t>
      </w:r>
    </w:p>
    <w:p w14:paraId="5CC041F6">
      <w:pPr>
        <w:pStyle w:val="4"/>
        <w:ind w:left="0" w:leftChars="0"/>
        <w:outlineLvl w:val="1"/>
        <w:rPr>
          <w:rFonts w:hint="eastAsia" w:ascii="黑体" w:hAnsi="黑体" w:eastAsia="黑体" w:cs="黑体"/>
          <w:b/>
          <w:bCs/>
          <w:sz w:val="30"/>
          <w:szCs w:val="30"/>
          <w:lang w:val="en-US" w:eastAsia="zh-CN"/>
        </w:rPr>
      </w:pPr>
      <w:bookmarkStart w:id="18" w:name="_Toc90"/>
      <w:r>
        <w:rPr>
          <w:rFonts w:hint="eastAsia" w:ascii="黑体" w:hAnsi="黑体" w:eastAsia="黑体" w:cs="黑体"/>
          <w:b/>
          <w:bCs/>
          <w:sz w:val="30"/>
          <w:szCs w:val="30"/>
          <w:lang w:val="en-US" w:eastAsia="zh-CN"/>
        </w:rPr>
        <w:t>4.4.2  AI 工具使用意愿</w:t>
      </w:r>
      <w:bookmarkEnd w:id="18"/>
    </w:p>
    <w:p w14:paraId="63E0D6E7">
      <w:pPr>
        <w:pStyle w:val="18"/>
        <w:rPr>
          <w:rFonts w:hint="eastAsia" w:ascii="宋体" w:hAnsi="宋体" w:eastAsia="宋体" w:cs="宋体"/>
          <w:b/>
          <w:bCs/>
          <w:sz w:val="24"/>
          <w:szCs w:val="24"/>
        </w:rPr>
      </w:pPr>
      <w:r>
        <w:rPr>
          <w:rFonts w:hint="eastAsia" w:ascii="宋体" w:hAnsi="宋体" w:eastAsia="宋体" w:cs="宋体"/>
          <w:b/>
          <w:bCs/>
          <w:sz w:val="24"/>
          <w:szCs w:val="24"/>
        </w:rPr>
        <w:t>认知低但意愿高，存在 “潜在需求缺口”：</w:t>
      </w:r>
    </w:p>
    <w:p w14:paraId="72A0CDBA">
      <w:pPr>
        <w:pStyle w:val="18"/>
        <w:numPr>
          <w:ilvl w:val="0"/>
          <w:numId w:val="9"/>
        </w:numPr>
        <w:rPr>
          <w:rFonts w:hint="eastAsia" w:ascii="宋体" w:hAnsi="宋体" w:eastAsia="宋体" w:cs="宋体"/>
          <w:sz w:val="24"/>
          <w:szCs w:val="24"/>
        </w:rPr>
      </w:pPr>
      <w:r>
        <w:rPr>
          <w:rFonts w:hint="eastAsia" w:ascii="宋体" w:hAnsi="宋体" w:eastAsia="宋体" w:cs="宋体"/>
          <w:sz w:val="24"/>
          <w:szCs w:val="24"/>
        </w:rPr>
        <w:t>愿意使用（非常愿意 + 比较愿意）：140 人，占比 66.35%，问卷平均分为 2.16（5 分制，高于共治意愿平均分）；</w:t>
      </w:r>
    </w:p>
    <w:p w14:paraId="3A70BBFD">
      <w:pPr>
        <w:pStyle w:val="18"/>
        <w:numPr>
          <w:ilvl w:val="0"/>
          <w:numId w:val="9"/>
        </w:numPr>
        <w:rPr>
          <w:rFonts w:hint="eastAsia" w:ascii="宋体" w:hAnsi="宋体" w:eastAsia="宋体" w:cs="宋体"/>
          <w:sz w:val="24"/>
          <w:szCs w:val="24"/>
        </w:rPr>
      </w:pPr>
      <w:r>
        <w:rPr>
          <w:rFonts w:hint="eastAsia" w:ascii="宋体" w:hAnsi="宋体" w:eastAsia="宋体" w:cs="宋体"/>
          <w:sz w:val="24"/>
          <w:szCs w:val="24"/>
        </w:rPr>
        <w:t>观望态度：44 人，占比 20.85%；</w:t>
      </w:r>
    </w:p>
    <w:p w14:paraId="1F00D5E4">
      <w:pPr>
        <w:pStyle w:val="18"/>
        <w:numPr>
          <w:ilvl w:val="0"/>
          <w:numId w:val="9"/>
        </w:numPr>
        <w:rPr>
          <w:rFonts w:hint="eastAsia" w:ascii="宋体" w:hAnsi="宋体" w:eastAsia="宋体" w:cs="宋体"/>
          <w:sz w:val="24"/>
          <w:szCs w:val="24"/>
        </w:rPr>
      </w:pPr>
      <w:r>
        <w:rPr>
          <w:rFonts w:hint="eastAsia" w:ascii="宋体" w:hAnsi="宋体" w:eastAsia="宋体" w:cs="宋体"/>
          <w:sz w:val="24"/>
          <w:szCs w:val="24"/>
        </w:rPr>
        <w:t>不愿使用：27 人，占比 12.80%（不太愿意 10.90%+ 非常不愿意 1.90%）。</w:t>
      </w:r>
    </w:p>
    <w:p w14:paraId="72DB83B5">
      <w:pPr>
        <w:pStyle w:val="4"/>
        <w:ind w:left="0" w:leftChars="0" w:firstLine="241" w:firstLineChars="100"/>
        <w:outlineLvl w:val="9"/>
        <w:rPr>
          <w:rFonts w:hint="eastAsia" w:ascii="宋体" w:hAnsi="宋体" w:eastAsia="宋体" w:cs="宋体"/>
          <w:sz w:val="24"/>
          <w:szCs w:val="24"/>
          <w:lang w:val="en-US" w:eastAsia="zh-CN"/>
        </w:rPr>
      </w:pPr>
    </w:p>
    <w:p w14:paraId="16CB61CC">
      <w:pPr>
        <w:pStyle w:val="4"/>
        <w:ind w:left="0" w:leftChars="0"/>
        <w:outlineLvl w:val="1"/>
        <w:rPr>
          <w:rFonts w:hint="eastAsia" w:ascii="黑体" w:hAnsi="黑体" w:eastAsia="黑体" w:cs="黑体"/>
          <w:b/>
          <w:bCs/>
          <w:sz w:val="30"/>
          <w:szCs w:val="30"/>
          <w:lang w:val="en-US" w:eastAsia="zh-CN"/>
        </w:rPr>
      </w:pPr>
      <w:bookmarkStart w:id="19" w:name="_Toc15523"/>
      <w:r>
        <w:rPr>
          <w:rFonts w:hint="eastAsia" w:ascii="黑体" w:hAnsi="黑体" w:eastAsia="黑体" w:cs="黑体"/>
          <w:b/>
          <w:bCs/>
          <w:sz w:val="30"/>
          <w:szCs w:val="30"/>
          <w:lang w:val="en-US" w:eastAsia="zh-CN"/>
        </w:rPr>
        <w:t>4.4.3 不愿使用 AI 工具的核心顾虑</w:t>
      </w:r>
      <w:bookmarkEnd w:id="19"/>
    </w:p>
    <w:p w14:paraId="21133112">
      <w:pPr>
        <w:pStyle w:val="18"/>
        <w:rPr>
          <w:rFonts w:hint="eastAsia" w:ascii="宋体" w:hAnsi="宋体" w:eastAsia="宋体" w:cs="宋体"/>
          <w:sz w:val="24"/>
          <w:szCs w:val="24"/>
        </w:rPr>
      </w:pPr>
      <w:r>
        <w:rPr>
          <w:rFonts w:hint="eastAsia" w:ascii="宋体" w:hAnsi="宋体" w:eastAsia="宋体" w:cs="宋体"/>
          <w:b/>
          <w:bCs/>
          <w:sz w:val="24"/>
          <w:szCs w:val="24"/>
        </w:rPr>
        <w:t>居民顾虑集中在 “数据安全” 和 “操作门槛”，具体如下</w:t>
      </w:r>
      <w:r>
        <w:rPr>
          <w:rFonts w:hint="eastAsia" w:ascii="宋体" w:hAnsi="宋体" w:eastAsia="宋体" w:cs="宋体"/>
          <w:sz w:val="24"/>
          <w:szCs w:val="24"/>
        </w:rPr>
        <w:t>：</w:t>
      </w:r>
    </w:p>
    <w:p w14:paraId="4A82C7DB">
      <w:pPr>
        <w:pStyle w:val="18"/>
        <w:numPr>
          <w:ilvl w:val="0"/>
          <w:numId w:val="10"/>
        </w:numPr>
        <w:rPr>
          <w:rFonts w:hint="eastAsia" w:ascii="宋体" w:hAnsi="宋体" w:eastAsia="宋体" w:cs="宋体"/>
          <w:sz w:val="24"/>
          <w:szCs w:val="24"/>
        </w:rPr>
      </w:pPr>
      <w:r>
        <w:rPr>
          <w:rFonts w:hint="eastAsia" w:ascii="宋体" w:hAnsi="宋体" w:eastAsia="宋体" w:cs="宋体"/>
          <w:sz w:val="24"/>
          <w:szCs w:val="24"/>
        </w:rPr>
        <w:t>最高顾虑：数据安全（20 人，74.07%），担心个人信息、饮食记录泄露；</w:t>
      </w:r>
    </w:p>
    <w:p w14:paraId="20CDDBA2">
      <w:pPr>
        <w:pStyle w:val="18"/>
        <w:numPr>
          <w:ilvl w:val="0"/>
          <w:numId w:val="10"/>
        </w:numPr>
        <w:rPr>
          <w:rFonts w:hint="eastAsia" w:ascii="宋体" w:hAnsi="宋体" w:eastAsia="宋体" w:cs="宋体"/>
          <w:sz w:val="24"/>
          <w:szCs w:val="24"/>
        </w:rPr>
      </w:pPr>
      <w:r>
        <w:rPr>
          <w:rFonts w:hint="eastAsia" w:ascii="宋体" w:hAnsi="宋体" w:eastAsia="宋体" w:cs="宋体"/>
          <w:sz w:val="24"/>
          <w:szCs w:val="24"/>
        </w:rPr>
        <w:t>次高顾虑：操作难度（13 人，48.15%），老年人等群体存在使用障碍；</w:t>
      </w:r>
    </w:p>
    <w:p w14:paraId="3C3B74A7">
      <w:pPr>
        <w:pStyle w:val="18"/>
        <w:numPr>
          <w:ilvl w:val="0"/>
          <w:numId w:val="10"/>
        </w:numPr>
        <w:rPr>
          <w:rFonts w:hint="eastAsia" w:ascii="宋体" w:hAnsi="宋体" w:eastAsia="宋体" w:cs="宋体"/>
          <w:sz w:val="24"/>
          <w:szCs w:val="24"/>
        </w:rPr>
      </w:pPr>
      <w:r>
        <w:rPr>
          <w:rFonts w:hint="eastAsia" w:ascii="宋体" w:hAnsi="宋体" w:eastAsia="宋体" w:cs="宋体"/>
          <w:sz w:val="24"/>
          <w:szCs w:val="24"/>
        </w:rPr>
        <w:t>其他顾虑：数据可信度（12 人，44.44%）、数据来源不透明（3 人，11.11%）。</w:t>
      </w:r>
    </w:p>
    <w:p w14:paraId="58FFE0CD">
      <w:pPr>
        <w:pStyle w:val="4"/>
        <w:ind w:left="0" w:leftChars="0"/>
        <w:outlineLvl w:val="9"/>
        <w:rPr>
          <w:rFonts w:hint="eastAsia" w:ascii="宋体" w:hAnsi="宋体" w:eastAsia="宋体" w:cs="宋体"/>
          <w:sz w:val="24"/>
          <w:szCs w:val="24"/>
        </w:rPr>
      </w:pPr>
    </w:p>
    <w:p w14:paraId="3DA19384">
      <w:pPr>
        <w:pStyle w:val="4"/>
        <w:ind w:left="0" w:leftChars="0"/>
        <w:outlineLvl w:val="1"/>
        <w:rPr>
          <w:rFonts w:hint="eastAsia" w:ascii="黑体" w:hAnsi="黑体" w:eastAsia="黑体" w:cs="黑体"/>
          <w:b/>
          <w:bCs/>
          <w:sz w:val="30"/>
          <w:szCs w:val="30"/>
          <w:lang w:val="en-US" w:eastAsia="zh-CN"/>
        </w:rPr>
      </w:pPr>
      <w:bookmarkStart w:id="20" w:name="_Toc9884"/>
      <w:r>
        <w:rPr>
          <w:rFonts w:hint="eastAsia" w:ascii="黑体" w:hAnsi="黑体" w:eastAsia="黑体" w:cs="黑体"/>
          <w:b/>
          <w:bCs/>
          <w:sz w:val="30"/>
          <w:szCs w:val="30"/>
          <w:lang w:val="en-US" w:eastAsia="zh-CN"/>
        </w:rPr>
        <w:t>4.4.4  AI 工具功能期望</w:t>
      </w:r>
      <w:bookmarkEnd w:id="20"/>
    </w:p>
    <w:p w14:paraId="56F79F12">
      <w:pPr>
        <w:pStyle w:val="18"/>
        <w:rPr>
          <w:rFonts w:hint="eastAsia" w:ascii="宋体" w:hAnsi="宋体" w:eastAsia="宋体" w:cs="宋体"/>
          <w:b/>
          <w:bCs/>
          <w:sz w:val="24"/>
          <w:szCs w:val="24"/>
        </w:rPr>
      </w:pPr>
      <w:r>
        <w:rPr>
          <w:rFonts w:hint="eastAsia" w:ascii="宋体" w:hAnsi="宋体" w:eastAsia="宋体" w:cs="宋体"/>
          <w:b/>
          <w:bCs/>
          <w:sz w:val="24"/>
          <w:szCs w:val="24"/>
        </w:rPr>
        <w:t>居民需求聚焦 “安全预警” 和 “实用性”：</w:t>
      </w:r>
    </w:p>
    <w:p w14:paraId="14EC3DA5">
      <w:pPr>
        <w:pStyle w:val="18"/>
        <w:jc w:val="center"/>
        <w:rPr>
          <w:rFonts w:hint="default"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表 4-8 AI功能期望统计表</w:t>
      </w:r>
    </w:p>
    <w:tbl>
      <w:tblPr>
        <w:tblStyle w:val="12"/>
        <w:tblW w:w="921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8" w:type="dxa"/>
          <w:bottom w:w="80" w:type="dxa"/>
          <w:right w:w="128" w:type="dxa"/>
        </w:tblCellMar>
      </w:tblPr>
      <w:tblGrid>
        <w:gridCol w:w="4943"/>
        <w:gridCol w:w="2268"/>
        <w:gridCol w:w="2003"/>
      </w:tblGrid>
      <w:tr w14:paraId="4D21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trPr>
        <w:tc>
          <w:tcPr>
            <w:tcW w:w="4943" w:type="dxa"/>
            <w:tcBorders>
              <w:top w:val="single" w:color="auto" w:sz="12" w:space="0"/>
              <w:left w:val="nil"/>
              <w:bottom w:val="single" w:color="auto" w:sz="4" w:space="0"/>
              <w:right w:val="nil"/>
            </w:tcBorders>
            <w:vAlign w:val="center"/>
          </w:tcPr>
          <w:p w14:paraId="088B667B">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期望功能</w:t>
            </w:r>
          </w:p>
        </w:tc>
        <w:tc>
          <w:tcPr>
            <w:tcW w:w="2268" w:type="dxa"/>
            <w:tcBorders>
              <w:top w:val="single" w:color="auto" w:sz="12" w:space="0"/>
              <w:left w:val="nil"/>
              <w:bottom w:val="single" w:color="auto" w:sz="4" w:space="0"/>
              <w:right w:val="nil"/>
            </w:tcBorders>
            <w:vAlign w:val="center"/>
          </w:tcPr>
          <w:p w14:paraId="2BBB8B4E">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选择人数</w:t>
            </w:r>
          </w:p>
        </w:tc>
        <w:tc>
          <w:tcPr>
            <w:tcW w:w="2003" w:type="dxa"/>
            <w:tcBorders>
              <w:top w:val="single" w:color="auto" w:sz="12" w:space="0"/>
              <w:left w:val="nil"/>
              <w:bottom w:val="single" w:color="auto" w:sz="4" w:space="0"/>
              <w:right w:val="nil"/>
            </w:tcBorders>
            <w:vAlign w:val="center"/>
          </w:tcPr>
          <w:p w14:paraId="5FB685EF">
            <w:pPr>
              <w:pStyle w:val="18"/>
              <w:snapToGrid w:val="0"/>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比例</w:t>
            </w:r>
          </w:p>
        </w:tc>
      </w:tr>
      <w:tr w14:paraId="1297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rPr>
        <w:tc>
          <w:tcPr>
            <w:tcW w:w="4943" w:type="dxa"/>
            <w:tcBorders>
              <w:top w:val="single" w:color="auto" w:sz="4" w:space="0"/>
              <w:left w:val="nil"/>
              <w:bottom w:val="nil"/>
              <w:right w:val="nil"/>
            </w:tcBorders>
            <w:vAlign w:val="center"/>
          </w:tcPr>
          <w:p w14:paraId="2C8BA84E">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食品安全风险预警</w:t>
            </w:r>
          </w:p>
        </w:tc>
        <w:tc>
          <w:tcPr>
            <w:tcW w:w="2268" w:type="dxa"/>
            <w:tcBorders>
              <w:top w:val="single" w:color="auto" w:sz="4" w:space="0"/>
              <w:left w:val="nil"/>
              <w:bottom w:val="nil"/>
              <w:right w:val="nil"/>
            </w:tcBorders>
            <w:vAlign w:val="center"/>
          </w:tcPr>
          <w:p w14:paraId="0AA8A4B8">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177</w:t>
            </w:r>
          </w:p>
        </w:tc>
        <w:tc>
          <w:tcPr>
            <w:tcW w:w="2003" w:type="dxa"/>
            <w:tcBorders>
              <w:top w:val="single" w:color="auto" w:sz="4" w:space="0"/>
              <w:left w:val="nil"/>
              <w:bottom w:val="nil"/>
              <w:right w:val="nil"/>
            </w:tcBorders>
            <w:vAlign w:val="center"/>
          </w:tcPr>
          <w:p w14:paraId="4A4AD5AB">
            <w:pPr>
              <w:pStyle w:val="18"/>
              <w:snapToGrid w:val="0"/>
              <w:jc w:val="right"/>
              <w:rPr>
                <w:rFonts w:hint="eastAsia" w:ascii="宋体" w:hAnsi="宋体" w:eastAsia="宋体" w:cs="宋体"/>
                <w:sz w:val="24"/>
                <w:szCs w:val="24"/>
              </w:rPr>
            </w:pPr>
            <w:r>
              <w:rPr>
                <w:rFonts w:hint="eastAsia" w:ascii="宋体" w:hAnsi="宋体" w:eastAsia="宋体" w:cs="宋体"/>
                <w:sz w:val="24"/>
                <w:szCs w:val="24"/>
              </w:rPr>
              <w:t>83.89%</w:t>
            </w:r>
          </w:p>
        </w:tc>
      </w:tr>
      <w:tr w14:paraId="74058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rPr>
        <w:tc>
          <w:tcPr>
            <w:tcW w:w="4943" w:type="dxa"/>
            <w:tcBorders>
              <w:top w:val="nil"/>
              <w:left w:val="nil"/>
              <w:bottom w:val="nil"/>
              <w:right w:val="nil"/>
            </w:tcBorders>
            <w:vAlign w:val="center"/>
          </w:tcPr>
          <w:p w14:paraId="0550C32F">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个性化饮食建议</w:t>
            </w:r>
          </w:p>
        </w:tc>
        <w:tc>
          <w:tcPr>
            <w:tcW w:w="2268" w:type="dxa"/>
            <w:tcBorders>
              <w:top w:val="nil"/>
              <w:left w:val="nil"/>
              <w:bottom w:val="nil"/>
              <w:right w:val="nil"/>
            </w:tcBorders>
            <w:vAlign w:val="center"/>
          </w:tcPr>
          <w:p w14:paraId="4FF47CB4">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140</w:t>
            </w:r>
          </w:p>
        </w:tc>
        <w:tc>
          <w:tcPr>
            <w:tcW w:w="2003" w:type="dxa"/>
            <w:tcBorders>
              <w:top w:val="nil"/>
              <w:left w:val="nil"/>
              <w:bottom w:val="nil"/>
              <w:right w:val="nil"/>
            </w:tcBorders>
            <w:vAlign w:val="center"/>
          </w:tcPr>
          <w:p w14:paraId="5ADA6046">
            <w:pPr>
              <w:pStyle w:val="18"/>
              <w:snapToGrid w:val="0"/>
              <w:jc w:val="right"/>
              <w:rPr>
                <w:rFonts w:hint="eastAsia" w:ascii="宋体" w:hAnsi="宋体" w:eastAsia="宋体" w:cs="宋体"/>
                <w:sz w:val="24"/>
                <w:szCs w:val="24"/>
              </w:rPr>
            </w:pPr>
            <w:r>
              <w:rPr>
                <w:rFonts w:hint="eastAsia" w:ascii="宋体" w:hAnsi="宋体" w:eastAsia="宋体" w:cs="宋体"/>
                <w:sz w:val="24"/>
                <w:szCs w:val="24"/>
              </w:rPr>
              <w:t>66.35%</w:t>
            </w:r>
          </w:p>
        </w:tc>
      </w:tr>
      <w:tr w14:paraId="5EB6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rPr>
        <w:tc>
          <w:tcPr>
            <w:tcW w:w="4943" w:type="dxa"/>
            <w:tcBorders>
              <w:top w:val="nil"/>
              <w:left w:val="nil"/>
              <w:bottom w:val="nil"/>
              <w:right w:val="nil"/>
            </w:tcBorders>
            <w:vAlign w:val="center"/>
          </w:tcPr>
          <w:p w14:paraId="41221612">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食品标签文字识别</w:t>
            </w:r>
          </w:p>
        </w:tc>
        <w:tc>
          <w:tcPr>
            <w:tcW w:w="2268" w:type="dxa"/>
            <w:tcBorders>
              <w:top w:val="nil"/>
              <w:left w:val="nil"/>
              <w:bottom w:val="nil"/>
              <w:right w:val="nil"/>
            </w:tcBorders>
            <w:vAlign w:val="center"/>
          </w:tcPr>
          <w:p w14:paraId="5139DC14">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136</w:t>
            </w:r>
          </w:p>
        </w:tc>
        <w:tc>
          <w:tcPr>
            <w:tcW w:w="2003" w:type="dxa"/>
            <w:tcBorders>
              <w:top w:val="nil"/>
              <w:left w:val="nil"/>
              <w:bottom w:val="nil"/>
              <w:right w:val="nil"/>
            </w:tcBorders>
            <w:vAlign w:val="center"/>
          </w:tcPr>
          <w:p w14:paraId="59CA18DB">
            <w:pPr>
              <w:pStyle w:val="18"/>
              <w:snapToGrid w:val="0"/>
              <w:jc w:val="right"/>
              <w:rPr>
                <w:rFonts w:hint="eastAsia" w:ascii="宋体" w:hAnsi="宋体" w:eastAsia="宋体" w:cs="宋体"/>
                <w:sz w:val="24"/>
                <w:szCs w:val="24"/>
              </w:rPr>
            </w:pPr>
            <w:r>
              <w:rPr>
                <w:rFonts w:hint="eastAsia" w:ascii="宋体" w:hAnsi="宋体" w:eastAsia="宋体" w:cs="宋体"/>
                <w:sz w:val="24"/>
                <w:szCs w:val="24"/>
              </w:rPr>
              <w:t>64.45%</w:t>
            </w:r>
          </w:p>
        </w:tc>
      </w:tr>
      <w:tr w14:paraId="30E9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rPr>
        <w:tc>
          <w:tcPr>
            <w:tcW w:w="4943" w:type="dxa"/>
            <w:tcBorders>
              <w:top w:val="nil"/>
              <w:left w:val="nil"/>
              <w:bottom w:val="single" w:color="auto" w:sz="12" w:space="0"/>
              <w:right w:val="nil"/>
            </w:tcBorders>
            <w:vAlign w:val="center"/>
          </w:tcPr>
          <w:p w14:paraId="44C48505">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食品安全问题举报入口</w:t>
            </w:r>
          </w:p>
        </w:tc>
        <w:tc>
          <w:tcPr>
            <w:tcW w:w="2268" w:type="dxa"/>
            <w:tcBorders>
              <w:top w:val="nil"/>
              <w:left w:val="nil"/>
              <w:bottom w:val="single" w:color="auto" w:sz="12" w:space="0"/>
              <w:right w:val="nil"/>
            </w:tcBorders>
            <w:vAlign w:val="center"/>
          </w:tcPr>
          <w:p w14:paraId="4015D3E0">
            <w:pPr>
              <w:pStyle w:val="18"/>
              <w:snapToGrid w:val="0"/>
              <w:jc w:val="center"/>
              <w:rPr>
                <w:rFonts w:hint="eastAsia" w:ascii="宋体" w:hAnsi="宋体" w:eastAsia="宋体" w:cs="宋体"/>
                <w:sz w:val="24"/>
                <w:szCs w:val="24"/>
              </w:rPr>
            </w:pPr>
            <w:r>
              <w:rPr>
                <w:rFonts w:hint="eastAsia" w:ascii="宋体" w:hAnsi="宋体" w:eastAsia="宋体" w:cs="宋体"/>
                <w:sz w:val="24"/>
                <w:szCs w:val="24"/>
              </w:rPr>
              <w:t>123</w:t>
            </w:r>
          </w:p>
        </w:tc>
        <w:tc>
          <w:tcPr>
            <w:tcW w:w="2003" w:type="dxa"/>
            <w:tcBorders>
              <w:top w:val="nil"/>
              <w:left w:val="nil"/>
              <w:bottom w:val="single" w:color="auto" w:sz="12" w:space="0"/>
              <w:right w:val="nil"/>
            </w:tcBorders>
            <w:vAlign w:val="center"/>
          </w:tcPr>
          <w:p w14:paraId="62943A74">
            <w:pPr>
              <w:pStyle w:val="18"/>
              <w:snapToGrid w:val="0"/>
              <w:jc w:val="right"/>
              <w:rPr>
                <w:rFonts w:hint="eastAsia" w:ascii="宋体" w:hAnsi="宋体" w:eastAsia="宋体" w:cs="宋体"/>
                <w:sz w:val="24"/>
                <w:szCs w:val="24"/>
              </w:rPr>
            </w:pPr>
            <w:r>
              <w:rPr>
                <w:rFonts w:hint="eastAsia" w:ascii="宋体" w:hAnsi="宋体" w:eastAsia="宋体" w:cs="宋体"/>
                <w:sz w:val="24"/>
                <w:szCs w:val="24"/>
              </w:rPr>
              <w:t>58.29%</w:t>
            </w:r>
          </w:p>
        </w:tc>
      </w:tr>
    </w:tbl>
    <w:p w14:paraId="0AA7A416">
      <w:pPr>
        <w:pStyle w:val="4"/>
        <w:ind w:left="0" w:leftChars="0"/>
        <w:outlineLvl w:val="9"/>
        <w:rPr>
          <w:rFonts w:hint="eastAsia" w:ascii="宋体" w:hAnsi="宋体" w:eastAsia="宋体" w:cs="宋体"/>
          <w:sz w:val="24"/>
          <w:szCs w:val="24"/>
        </w:rPr>
      </w:pPr>
    </w:p>
    <w:p w14:paraId="0E33EDAA">
      <w:pPr>
        <w:rPr>
          <w:rFonts w:hint="eastAsia" w:ascii="宋体" w:hAnsi="宋体" w:eastAsia="宋体" w:cs="宋体"/>
          <w:sz w:val="24"/>
          <w:szCs w:val="24"/>
        </w:rPr>
      </w:pPr>
    </w:p>
    <w:p w14:paraId="7A8980ED">
      <w:pPr>
        <w:pStyle w:val="4"/>
        <w:ind w:left="0" w:leftChars="0"/>
        <w:outlineLvl w:val="9"/>
        <w:rPr>
          <w:rFonts w:hint="eastAsia" w:ascii="宋体" w:hAnsi="宋体" w:eastAsia="宋体" w:cs="宋体"/>
          <w:sz w:val="30"/>
          <w:szCs w:val="30"/>
          <w:lang w:eastAsia="zh-CN"/>
        </w:rPr>
      </w:pPr>
      <w:r>
        <w:rPr>
          <w:rFonts w:hint="eastAsia" w:ascii="宋体" w:hAnsi="宋体" w:eastAsia="宋体" w:cs="宋体"/>
          <w:sz w:val="30"/>
          <w:szCs w:val="30"/>
          <w:lang w:val="en-US" w:eastAsia="zh-CN"/>
        </w:rPr>
        <w:t xml:space="preserve">4.4.5 </w:t>
      </w:r>
      <w:r>
        <w:rPr>
          <w:rFonts w:hint="eastAsia" w:ascii="宋体" w:hAnsi="宋体" w:eastAsia="宋体" w:cs="宋体"/>
          <w:sz w:val="30"/>
          <w:szCs w:val="30"/>
          <w:lang w:eastAsia="zh-CN"/>
        </w:rPr>
        <w:t>关键交叉分析：年龄 vs AI 使用意愿</w:t>
      </w:r>
    </w:p>
    <w:p w14:paraId="7B228A5B">
      <w:pPr>
        <w:jc w:val="center"/>
        <w:rPr>
          <w:rFonts w:hint="default"/>
          <w:sz w:val="21"/>
          <w:szCs w:val="21"/>
          <w:lang w:val="en-US" w:eastAsia="zh-CN"/>
        </w:rPr>
      </w:pPr>
      <w:r>
        <w:rPr>
          <w:rFonts w:hint="eastAsia" w:ascii="宋体" w:hAnsi="宋体" w:eastAsia="宋体" w:cs="宋体"/>
          <w:sz w:val="21"/>
          <w:szCs w:val="21"/>
          <w:lang w:val="en-US" w:eastAsia="zh-CN"/>
        </w:rPr>
        <w:t>表4-9 年龄与AI使用意愿交叉分析表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6"/>
        <w:gridCol w:w="2440"/>
        <w:gridCol w:w="2324"/>
        <w:gridCol w:w="2266"/>
      </w:tblGrid>
      <w:tr w14:paraId="243B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EC1EF7">
            <w:pPr>
              <w:pStyle w:val="18"/>
              <w:rPr>
                <w:rFonts w:hint="eastAsia" w:ascii="宋体" w:hAnsi="宋体" w:eastAsia="宋体" w:cs="宋体"/>
                <w:sz w:val="24"/>
                <w:szCs w:val="24"/>
              </w:rPr>
            </w:pPr>
            <w:r>
              <w:rPr>
                <w:rFonts w:hint="eastAsia" w:ascii="宋体" w:hAnsi="宋体" w:eastAsia="宋体" w:cs="宋体"/>
                <w:sz w:val="24"/>
                <w:szCs w:val="24"/>
              </w:rPr>
              <w:t>年龄段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1422B6">
            <w:pPr>
              <w:pStyle w:val="18"/>
              <w:rPr>
                <w:rFonts w:hint="eastAsia" w:ascii="宋体" w:hAnsi="宋体" w:eastAsia="宋体" w:cs="宋体"/>
                <w:sz w:val="24"/>
                <w:szCs w:val="24"/>
              </w:rPr>
            </w:pPr>
            <w:r>
              <w:rPr>
                <w:rFonts w:hint="eastAsia" w:ascii="宋体" w:hAnsi="宋体" w:eastAsia="宋体" w:cs="宋体"/>
                <w:sz w:val="24"/>
                <w:szCs w:val="24"/>
              </w:rPr>
              <w:t>愿意使用 AI 比例（非常 + 比较）</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2B4809">
            <w:pPr>
              <w:pStyle w:val="18"/>
              <w:rPr>
                <w:rFonts w:hint="eastAsia" w:ascii="宋体" w:hAnsi="宋体" w:eastAsia="宋体" w:cs="宋体"/>
                <w:sz w:val="24"/>
                <w:szCs w:val="24"/>
              </w:rPr>
            </w:pPr>
            <w:r>
              <w:rPr>
                <w:rFonts w:hint="eastAsia" w:ascii="宋体" w:hAnsi="宋体" w:eastAsia="宋体" w:cs="宋体"/>
                <w:sz w:val="24"/>
                <w:szCs w:val="24"/>
              </w:rPr>
              <w:t>数据支撑（基于总样本推导）</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609408">
            <w:pPr>
              <w:pStyle w:val="18"/>
              <w:rPr>
                <w:rFonts w:hint="eastAsia" w:ascii="宋体" w:hAnsi="宋体" w:eastAsia="宋体" w:cs="宋体"/>
                <w:sz w:val="24"/>
                <w:szCs w:val="24"/>
              </w:rPr>
            </w:pPr>
            <w:r>
              <w:rPr>
                <w:rFonts w:hint="eastAsia" w:ascii="宋体" w:hAnsi="宋体" w:eastAsia="宋体" w:cs="宋体"/>
                <w:sz w:val="24"/>
                <w:szCs w:val="24"/>
              </w:rPr>
              <w:t>核心原因</w:t>
            </w:r>
          </w:p>
        </w:tc>
      </w:tr>
      <w:tr w14:paraId="7F4D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DB7D70">
            <w:pPr>
              <w:pStyle w:val="18"/>
              <w:rPr>
                <w:rFonts w:hint="eastAsia" w:ascii="宋体" w:hAnsi="宋体" w:eastAsia="宋体" w:cs="宋体"/>
                <w:sz w:val="24"/>
                <w:szCs w:val="24"/>
              </w:rPr>
            </w:pPr>
            <w:r>
              <w:rPr>
                <w:rFonts w:hint="eastAsia" w:ascii="宋体" w:hAnsi="宋体" w:eastAsia="宋体" w:cs="宋体"/>
                <w:sz w:val="24"/>
                <w:szCs w:val="24"/>
              </w:rPr>
              <w:t>18-30 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F63432">
            <w:pPr>
              <w:pStyle w:val="18"/>
              <w:rPr>
                <w:rFonts w:hint="eastAsia" w:ascii="宋体" w:hAnsi="宋体" w:eastAsia="宋体" w:cs="宋体"/>
                <w:sz w:val="24"/>
                <w:szCs w:val="24"/>
              </w:rPr>
            </w:pPr>
            <w:r>
              <w:rPr>
                <w:rFonts w:hint="eastAsia" w:ascii="宋体" w:hAnsi="宋体" w:eastAsia="宋体" w:cs="宋体"/>
                <w:sz w:val="24"/>
                <w:szCs w:val="24"/>
              </w:rPr>
              <w:t>78.85%（82/104）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61A4C0">
            <w:pPr>
              <w:pStyle w:val="18"/>
              <w:rPr>
                <w:rFonts w:hint="eastAsia" w:ascii="宋体" w:hAnsi="宋体" w:eastAsia="宋体" w:cs="宋体"/>
                <w:sz w:val="24"/>
                <w:szCs w:val="24"/>
              </w:rPr>
            </w:pPr>
            <w:r>
              <w:rPr>
                <w:rFonts w:hint="eastAsia" w:ascii="宋体" w:hAnsi="宋体" w:eastAsia="宋体" w:cs="宋体"/>
                <w:sz w:val="24"/>
                <w:szCs w:val="24"/>
              </w:rPr>
              <w:t>占总愿意使用人数的 58.57%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30F0CF">
            <w:pPr>
              <w:pStyle w:val="18"/>
              <w:rPr>
                <w:rFonts w:hint="eastAsia" w:ascii="宋体" w:hAnsi="宋体" w:eastAsia="宋体" w:cs="宋体"/>
                <w:sz w:val="24"/>
                <w:szCs w:val="24"/>
              </w:rPr>
            </w:pPr>
            <w:r>
              <w:rPr>
                <w:rFonts w:hint="eastAsia" w:ascii="宋体" w:hAnsi="宋体" w:eastAsia="宋体" w:cs="宋体"/>
                <w:sz w:val="24"/>
                <w:szCs w:val="24"/>
              </w:rPr>
              <w:t>熟练使用智能工具，信任技术</w:t>
            </w:r>
          </w:p>
        </w:tc>
      </w:tr>
      <w:tr w14:paraId="36B4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D2570A">
            <w:pPr>
              <w:pStyle w:val="18"/>
              <w:rPr>
                <w:rFonts w:hint="eastAsia" w:ascii="宋体" w:hAnsi="宋体" w:eastAsia="宋体" w:cs="宋体"/>
                <w:sz w:val="24"/>
                <w:szCs w:val="24"/>
              </w:rPr>
            </w:pPr>
            <w:r>
              <w:rPr>
                <w:rFonts w:hint="eastAsia" w:ascii="宋体" w:hAnsi="宋体" w:eastAsia="宋体" w:cs="宋体"/>
                <w:sz w:val="24"/>
                <w:szCs w:val="24"/>
              </w:rPr>
              <w:t>31-45 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9E673D">
            <w:pPr>
              <w:pStyle w:val="18"/>
              <w:rPr>
                <w:rFonts w:hint="eastAsia" w:ascii="宋体" w:hAnsi="宋体" w:eastAsia="宋体" w:cs="宋体"/>
                <w:sz w:val="24"/>
                <w:szCs w:val="24"/>
              </w:rPr>
            </w:pPr>
            <w:r>
              <w:rPr>
                <w:rFonts w:hint="eastAsia" w:ascii="宋体" w:hAnsi="宋体" w:eastAsia="宋体" w:cs="宋体"/>
                <w:sz w:val="24"/>
                <w:szCs w:val="24"/>
              </w:rPr>
              <w:t>60.61%（40/66）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DF628A">
            <w:pPr>
              <w:pStyle w:val="18"/>
              <w:rPr>
                <w:rFonts w:hint="eastAsia" w:ascii="宋体" w:hAnsi="宋体" w:eastAsia="宋体" w:cs="宋体"/>
                <w:sz w:val="24"/>
                <w:szCs w:val="24"/>
              </w:rPr>
            </w:pPr>
            <w:r>
              <w:rPr>
                <w:rFonts w:hint="eastAsia" w:ascii="宋体" w:hAnsi="宋体" w:eastAsia="宋体" w:cs="宋体"/>
                <w:sz w:val="24"/>
                <w:szCs w:val="24"/>
              </w:rPr>
              <w:t>占总愿意使用人数的 28.57%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B42CDD">
            <w:pPr>
              <w:pStyle w:val="18"/>
              <w:rPr>
                <w:rFonts w:hint="eastAsia" w:ascii="宋体" w:hAnsi="宋体" w:eastAsia="宋体" w:cs="宋体"/>
                <w:sz w:val="24"/>
                <w:szCs w:val="24"/>
              </w:rPr>
            </w:pPr>
            <w:r>
              <w:rPr>
                <w:rFonts w:hint="eastAsia" w:ascii="宋体" w:hAnsi="宋体" w:eastAsia="宋体" w:cs="宋体"/>
                <w:sz w:val="24"/>
                <w:szCs w:val="24"/>
              </w:rPr>
              <w:t>有使用基础，但顾虑数据安全</w:t>
            </w:r>
          </w:p>
        </w:tc>
      </w:tr>
      <w:tr w14:paraId="0127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CB5B6A">
            <w:pPr>
              <w:pStyle w:val="18"/>
              <w:rPr>
                <w:rFonts w:hint="eastAsia" w:ascii="宋体" w:hAnsi="宋体" w:eastAsia="宋体" w:cs="宋体"/>
                <w:sz w:val="24"/>
                <w:szCs w:val="24"/>
              </w:rPr>
            </w:pPr>
            <w:r>
              <w:rPr>
                <w:rFonts w:hint="eastAsia" w:ascii="宋体" w:hAnsi="宋体" w:eastAsia="宋体" w:cs="宋体"/>
                <w:sz w:val="24"/>
                <w:szCs w:val="24"/>
              </w:rPr>
              <w:t>46 岁及以上</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81B791">
            <w:pPr>
              <w:pStyle w:val="18"/>
              <w:rPr>
                <w:rFonts w:hint="eastAsia" w:ascii="宋体" w:hAnsi="宋体" w:eastAsia="宋体" w:cs="宋体"/>
                <w:sz w:val="24"/>
                <w:szCs w:val="24"/>
              </w:rPr>
            </w:pPr>
            <w:r>
              <w:rPr>
                <w:rFonts w:hint="eastAsia" w:ascii="宋体" w:hAnsi="宋体" w:eastAsia="宋体" w:cs="宋体"/>
                <w:sz w:val="24"/>
                <w:szCs w:val="24"/>
              </w:rPr>
              <w:t>28.00%（7/25）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845CD4">
            <w:pPr>
              <w:pStyle w:val="18"/>
              <w:rPr>
                <w:rFonts w:hint="eastAsia" w:ascii="宋体" w:hAnsi="宋体" w:eastAsia="宋体" w:cs="宋体"/>
                <w:sz w:val="24"/>
                <w:szCs w:val="24"/>
              </w:rPr>
            </w:pPr>
            <w:r>
              <w:rPr>
                <w:rFonts w:hint="eastAsia" w:ascii="宋体" w:hAnsi="宋体" w:eastAsia="宋体" w:cs="宋体"/>
                <w:sz w:val="24"/>
                <w:szCs w:val="24"/>
              </w:rPr>
              <w:t>占总愿意使用人数的 5.00%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5B4320">
            <w:pPr>
              <w:pStyle w:val="18"/>
              <w:rPr>
                <w:rFonts w:hint="eastAsia" w:ascii="宋体" w:hAnsi="宋体" w:eastAsia="宋体" w:cs="宋体"/>
                <w:sz w:val="24"/>
                <w:szCs w:val="24"/>
              </w:rPr>
            </w:pPr>
            <w:r>
              <w:rPr>
                <w:rFonts w:hint="eastAsia" w:ascii="宋体" w:hAnsi="宋体" w:eastAsia="宋体" w:cs="宋体"/>
                <w:sz w:val="24"/>
                <w:szCs w:val="24"/>
              </w:rPr>
              <w:t>操作能力弱，对技术不信任</w:t>
            </w:r>
          </w:p>
        </w:tc>
      </w:tr>
    </w:tbl>
    <w:p w14:paraId="1848A6FD">
      <w:pPr>
        <w:pStyle w:val="18"/>
        <w:rPr>
          <w:rFonts w:hint="eastAsia" w:ascii="宋体" w:hAnsi="宋体" w:eastAsia="宋体" w:cs="宋体"/>
          <w:b/>
          <w:bCs/>
          <w:sz w:val="24"/>
          <w:szCs w:val="24"/>
          <w:u w:val="none"/>
        </w:rPr>
      </w:pPr>
    </w:p>
    <w:p w14:paraId="5330C0BD">
      <w:pPr>
        <w:pStyle w:val="18"/>
        <w:rPr>
          <w:rFonts w:hint="eastAsia" w:ascii="宋体" w:hAnsi="宋体" w:eastAsia="宋体" w:cs="宋体"/>
          <w:sz w:val="24"/>
          <w:szCs w:val="24"/>
        </w:rPr>
      </w:pPr>
      <w:r>
        <w:rPr>
          <w:rFonts w:hint="eastAsia" w:ascii="宋体" w:hAnsi="宋体" w:eastAsia="宋体" w:cs="宋体"/>
          <w:b/>
          <w:bCs/>
          <w:sz w:val="24"/>
          <w:szCs w:val="24"/>
          <w:u w:val="none"/>
        </w:rPr>
        <w:t>核心结论：年龄与 AI 使用意愿呈负相关，年轻人是 AI 工具核心用户</w:t>
      </w:r>
    </w:p>
    <w:p w14:paraId="3D78578B">
      <w:pPr>
        <w:pStyle w:val="3"/>
        <w:ind w:left="0" w:leftChars="0"/>
        <w:jc w:val="center"/>
        <w:outlineLvl w:val="0"/>
        <w:rPr>
          <w:rFonts w:hint="eastAsia" w:ascii="宋体" w:hAnsi="宋体" w:eastAsia="宋体" w:cs="宋体"/>
          <w:sz w:val="36"/>
          <w:szCs w:val="36"/>
        </w:rPr>
      </w:pPr>
    </w:p>
    <w:p w14:paraId="10747C30">
      <w:pPr>
        <w:pStyle w:val="3"/>
        <w:numPr>
          <w:ilvl w:val="0"/>
          <w:numId w:val="11"/>
        </w:numPr>
        <w:ind w:left="0" w:leftChars="0"/>
        <w:jc w:val="center"/>
        <w:outlineLvl w:val="0"/>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核心结论</w:t>
      </w:r>
    </w:p>
    <w:p w14:paraId="09B6D712">
      <w:pPr>
        <w:pStyle w:val="18"/>
        <w:numPr>
          <w:ilvl w:val="0"/>
          <w:numId w:val="12"/>
        </w:numPr>
        <w:rPr>
          <w:rFonts w:hint="eastAsia" w:ascii="宋体" w:hAnsi="宋体" w:eastAsia="宋体" w:cs="宋体"/>
          <w:sz w:val="24"/>
          <w:szCs w:val="24"/>
        </w:rPr>
      </w:pPr>
      <w:r>
        <w:rPr>
          <w:rFonts w:hint="eastAsia" w:ascii="宋体" w:hAnsi="宋体" w:eastAsia="宋体" w:cs="宋体"/>
          <w:b/>
          <w:bCs/>
          <w:sz w:val="24"/>
          <w:szCs w:val="24"/>
        </w:rPr>
        <w:t>认知与意愿错位</w:t>
      </w:r>
      <w:r>
        <w:rPr>
          <w:rFonts w:hint="eastAsia" w:ascii="宋体" w:hAnsi="宋体" w:eastAsia="宋体" w:cs="宋体"/>
          <w:sz w:val="24"/>
          <w:szCs w:val="24"/>
        </w:rPr>
        <w:t>：居民食品安全基础认知（如生产日期）较足，但 AI 认知度低（56.40% 认知不足），但 AI 工具使用意愿高（66.35% 愿意），存在 “高需求低认知” 缺口，需通过科普与体验活动填补；</w:t>
      </w:r>
    </w:p>
    <w:p w14:paraId="551CAFBD">
      <w:pPr>
        <w:pStyle w:val="18"/>
        <w:numPr>
          <w:ilvl w:val="0"/>
          <w:numId w:val="12"/>
        </w:numPr>
        <w:rPr>
          <w:rFonts w:hint="eastAsia" w:ascii="宋体" w:hAnsi="宋体" w:eastAsia="宋体" w:cs="宋体"/>
          <w:sz w:val="24"/>
          <w:szCs w:val="24"/>
        </w:rPr>
      </w:pPr>
      <w:r>
        <w:rPr>
          <w:rFonts w:hint="eastAsia" w:ascii="宋体" w:hAnsi="宋体" w:eastAsia="宋体" w:cs="宋体"/>
          <w:b/>
          <w:bCs/>
          <w:sz w:val="24"/>
          <w:szCs w:val="24"/>
        </w:rPr>
        <w:t>共治意愿分化</w:t>
      </w:r>
      <w:r>
        <w:rPr>
          <w:rFonts w:hint="eastAsia" w:ascii="宋体" w:hAnsi="宋体" w:eastAsia="宋体" w:cs="宋体"/>
          <w:sz w:val="24"/>
          <w:szCs w:val="24"/>
        </w:rPr>
        <w:t>： 愿意参与共治</w:t>
      </w:r>
      <w:r>
        <w:rPr>
          <w:rFonts w:hint="eastAsia" w:ascii="宋体" w:hAnsi="宋体" w:eastAsia="宋体" w:cs="宋体"/>
          <w:sz w:val="24"/>
          <w:szCs w:val="24"/>
          <w:lang w:val="en-US" w:eastAsia="zh-CN"/>
        </w:rPr>
        <w:t>的</w:t>
      </w:r>
      <w:r>
        <w:rPr>
          <w:rFonts w:hint="eastAsia" w:ascii="宋体" w:hAnsi="宋体" w:eastAsia="宋体" w:cs="宋体"/>
          <w:sz w:val="24"/>
          <w:szCs w:val="24"/>
        </w:rPr>
        <w:t>居民</w:t>
      </w:r>
      <w:r>
        <w:rPr>
          <w:rFonts w:hint="eastAsia" w:ascii="宋体" w:hAnsi="宋体" w:eastAsia="宋体" w:cs="宋体"/>
          <w:sz w:val="24"/>
          <w:szCs w:val="24"/>
          <w:lang w:val="en-US" w:eastAsia="zh-CN"/>
        </w:rPr>
        <w:t>中</w:t>
      </w:r>
      <w:r>
        <w:rPr>
          <w:rFonts w:hint="eastAsia" w:ascii="宋体" w:hAnsi="宋体" w:eastAsia="宋体" w:cs="宋体"/>
          <w:sz w:val="24"/>
          <w:szCs w:val="24"/>
        </w:rPr>
        <w:t>，主要采购者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占比65.71%</w:t>
      </w:r>
      <w:r>
        <w:rPr>
          <w:rFonts w:hint="eastAsia" w:ascii="宋体" w:hAnsi="宋体" w:eastAsia="宋体" w:cs="宋体"/>
          <w:sz w:val="24"/>
          <w:szCs w:val="24"/>
          <w:lang w:eastAsia="zh-CN"/>
        </w:rPr>
        <w:t>）</w:t>
      </w:r>
      <w:r>
        <w:rPr>
          <w:rFonts w:hint="eastAsia" w:ascii="宋体" w:hAnsi="宋体" w:eastAsia="宋体" w:cs="宋体"/>
          <w:sz w:val="24"/>
          <w:szCs w:val="24"/>
        </w:rPr>
        <w:t>、有问题经历者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占比66.33%</w:t>
      </w:r>
      <w:r>
        <w:rPr>
          <w:rFonts w:hint="eastAsia" w:ascii="宋体" w:hAnsi="宋体" w:eastAsia="宋体" w:cs="宋体"/>
          <w:sz w:val="24"/>
          <w:szCs w:val="24"/>
          <w:lang w:eastAsia="zh-CN"/>
        </w:rPr>
        <w:t>）</w:t>
      </w:r>
      <w:r>
        <w:rPr>
          <w:rFonts w:hint="eastAsia" w:ascii="宋体" w:hAnsi="宋体" w:eastAsia="宋体" w:cs="宋体"/>
          <w:sz w:val="24"/>
          <w:szCs w:val="24"/>
        </w:rPr>
        <w:t>、18-30 岁年轻人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占比78.75</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是核心群体，46 岁以上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占比28.00%</w:t>
      </w:r>
      <w:r>
        <w:rPr>
          <w:rFonts w:hint="eastAsia" w:ascii="宋体" w:hAnsi="宋体" w:eastAsia="宋体" w:cs="宋体"/>
          <w:sz w:val="24"/>
          <w:szCs w:val="24"/>
          <w:lang w:eastAsia="zh-CN"/>
        </w:rPr>
        <w:t>）</w:t>
      </w:r>
      <w:r>
        <w:rPr>
          <w:rFonts w:hint="eastAsia" w:ascii="宋体" w:hAnsi="宋体" w:eastAsia="宋体" w:cs="宋体"/>
          <w:sz w:val="24"/>
          <w:szCs w:val="24"/>
        </w:rPr>
        <w:t>、非采购者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占比39.13%</w:t>
      </w:r>
      <w:r>
        <w:rPr>
          <w:rFonts w:hint="eastAsia" w:ascii="宋体" w:hAnsi="宋体" w:eastAsia="宋体" w:cs="宋体"/>
          <w:sz w:val="24"/>
          <w:szCs w:val="24"/>
          <w:lang w:eastAsia="zh-CN"/>
        </w:rPr>
        <w:t>）</w:t>
      </w:r>
      <w:r>
        <w:rPr>
          <w:rFonts w:hint="eastAsia" w:ascii="宋体" w:hAnsi="宋体" w:eastAsia="宋体" w:cs="宋体"/>
          <w:sz w:val="24"/>
          <w:szCs w:val="24"/>
        </w:rPr>
        <w:t>意愿较低，需针对性设计动员策略；</w:t>
      </w:r>
    </w:p>
    <w:p w14:paraId="2AC046C9">
      <w:pPr>
        <w:pStyle w:val="18"/>
        <w:numPr>
          <w:ilvl w:val="0"/>
          <w:numId w:val="12"/>
        </w:numPr>
        <w:rPr>
          <w:rFonts w:hint="eastAsia"/>
          <w:lang w:val="en-US" w:eastAsia="zh-CN"/>
        </w:rPr>
      </w:pPr>
      <w:r>
        <w:rPr>
          <w:rFonts w:hint="eastAsia" w:ascii="宋体" w:hAnsi="宋体" w:eastAsia="宋体" w:cs="宋体"/>
          <w:b/>
          <w:bCs/>
          <w:sz w:val="24"/>
          <w:szCs w:val="24"/>
        </w:rPr>
        <w:t>关键痛点明确</w:t>
      </w:r>
      <w:r>
        <w:rPr>
          <w:rFonts w:hint="eastAsia" w:ascii="宋体" w:hAnsi="宋体" w:eastAsia="宋体" w:cs="宋体"/>
          <w:sz w:val="24"/>
          <w:szCs w:val="24"/>
        </w:rPr>
        <w:t>：监管端需提升 “信息透明度” 与 “参与渠道”，AI 工具需解决 “数据安全” 与 “操作门槛”，功能需优先覆盖 “安全预警”“标签识别”，契合居民核心需求。</w:t>
      </w:r>
    </w:p>
    <w:p w14:paraId="02DDD5C9">
      <w:pPr>
        <w:pStyle w:val="18"/>
        <w:numPr>
          <w:numId w:val="0"/>
        </w:numPr>
        <w:spacing w:before="120" w:after="120" w:line="288" w:lineRule="auto"/>
        <w:jc w:val="left"/>
        <w:rPr>
          <w:rFonts w:hint="eastAsia" w:ascii="宋体" w:hAnsi="宋体" w:eastAsia="宋体" w:cs="宋体"/>
          <w:sz w:val="24"/>
          <w:szCs w:val="24"/>
        </w:rPr>
      </w:pPr>
    </w:p>
    <w:p w14:paraId="412E70CC">
      <w:pPr>
        <w:pStyle w:val="18"/>
        <w:numPr>
          <w:numId w:val="0"/>
        </w:numPr>
        <w:spacing w:before="120" w:after="120" w:line="288" w:lineRule="auto"/>
        <w:jc w:val="left"/>
        <w:rPr>
          <w:rFonts w:hint="eastAsia" w:ascii="宋体" w:hAnsi="宋体" w:eastAsia="宋体" w:cs="宋体"/>
          <w:sz w:val="24"/>
          <w:szCs w:val="24"/>
        </w:rPr>
      </w:pPr>
    </w:p>
    <w:p w14:paraId="58B7E102">
      <w:pPr>
        <w:pStyle w:val="18"/>
        <w:numPr>
          <w:numId w:val="0"/>
        </w:numPr>
        <w:spacing w:before="120" w:after="120" w:line="288" w:lineRule="auto"/>
        <w:jc w:val="left"/>
        <w:rPr>
          <w:rFonts w:hint="eastAsia" w:ascii="宋体" w:hAnsi="宋体" w:eastAsia="宋体" w:cs="宋体"/>
          <w:sz w:val="24"/>
          <w:szCs w:val="24"/>
        </w:rPr>
      </w:pPr>
    </w:p>
    <w:p w14:paraId="7FE5E534">
      <w:pPr>
        <w:pStyle w:val="18"/>
        <w:numPr>
          <w:numId w:val="0"/>
        </w:numPr>
        <w:spacing w:before="120" w:after="120" w:line="288" w:lineRule="auto"/>
        <w:jc w:val="left"/>
        <w:rPr>
          <w:rFonts w:hint="eastAsia" w:ascii="宋体" w:hAnsi="宋体" w:eastAsia="宋体" w:cs="宋体"/>
          <w:sz w:val="24"/>
          <w:szCs w:val="24"/>
        </w:rPr>
      </w:pPr>
    </w:p>
    <w:p w14:paraId="48A5B5DD">
      <w:pPr>
        <w:pStyle w:val="18"/>
        <w:numPr>
          <w:numId w:val="0"/>
        </w:numPr>
        <w:spacing w:before="120" w:after="120" w:line="288" w:lineRule="auto"/>
        <w:jc w:val="left"/>
        <w:rPr>
          <w:rFonts w:hint="eastAsia" w:ascii="宋体" w:hAnsi="宋体" w:eastAsia="宋体" w:cs="宋体"/>
          <w:sz w:val="24"/>
          <w:szCs w:val="24"/>
        </w:rPr>
      </w:pPr>
    </w:p>
    <w:p w14:paraId="62EEE4D5">
      <w:pPr>
        <w:pStyle w:val="18"/>
        <w:numPr>
          <w:numId w:val="0"/>
        </w:numPr>
        <w:spacing w:before="120" w:after="120" w:line="288" w:lineRule="auto"/>
        <w:jc w:val="left"/>
        <w:rPr>
          <w:rFonts w:hint="eastAsia" w:ascii="宋体" w:hAnsi="宋体" w:eastAsia="宋体" w:cs="宋体"/>
          <w:sz w:val="24"/>
          <w:szCs w:val="24"/>
        </w:rPr>
      </w:pPr>
    </w:p>
    <w:p w14:paraId="40071ECF">
      <w:pPr>
        <w:pStyle w:val="18"/>
        <w:numPr>
          <w:numId w:val="0"/>
        </w:numPr>
        <w:spacing w:before="120" w:after="120" w:line="288" w:lineRule="auto"/>
        <w:jc w:val="left"/>
        <w:rPr>
          <w:rFonts w:hint="eastAsia" w:ascii="宋体" w:hAnsi="宋体" w:eastAsia="宋体" w:cs="宋体"/>
          <w:sz w:val="24"/>
          <w:szCs w:val="24"/>
        </w:rPr>
      </w:pPr>
    </w:p>
    <w:p w14:paraId="6F9DCEDC">
      <w:pPr>
        <w:pStyle w:val="18"/>
        <w:numPr>
          <w:numId w:val="0"/>
        </w:numPr>
        <w:spacing w:before="120" w:after="120" w:line="288" w:lineRule="auto"/>
        <w:jc w:val="left"/>
        <w:rPr>
          <w:rFonts w:hint="eastAsia" w:ascii="宋体" w:hAnsi="宋体" w:eastAsia="宋体" w:cs="宋体"/>
          <w:sz w:val="24"/>
          <w:szCs w:val="24"/>
        </w:rPr>
      </w:pPr>
    </w:p>
    <w:p w14:paraId="64F215E1">
      <w:pPr>
        <w:pStyle w:val="18"/>
        <w:numPr>
          <w:numId w:val="0"/>
        </w:numPr>
        <w:spacing w:before="120" w:after="120" w:line="288" w:lineRule="auto"/>
        <w:jc w:val="left"/>
        <w:rPr>
          <w:rFonts w:hint="eastAsia" w:ascii="宋体" w:hAnsi="宋体" w:eastAsia="宋体" w:cs="宋体"/>
          <w:sz w:val="24"/>
          <w:szCs w:val="24"/>
        </w:rPr>
      </w:pPr>
    </w:p>
    <w:p w14:paraId="54E8DF7A">
      <w:pPr>
        <w:pStyle w:val="18"/>
        <w:numPr>
          <w:numId w:val="0"/>
        </w:numPr>
        <w:spacing w:before="120" w:after="120" w:line="288" w:lineRule="auto"/>
        <w:jc w:val="left"/>
        <w:rPr>
          <w:rFonts w:hint="eastAsia" w:ascii="宋体" w:hAnsi="宋体" w:eastAsia="宋体" w:cs="宋体"/>
          <w:sz w:val="24"/>
          <w:szCs w:val="24"/>
        </w:rPr>
      </w:pPr>
    </w:p>
    <w:p w14:paraId="5E2092CE">
      <w:pPr>
        <w:pStyle w:val="18"/>
        <w:numPr>
          <w:numId w:val="0"/>
        </w:numPr>
        <w:spacing w:before="120" w:after="120" w:line="288" w:lineRule="auto"/>
        <w:jc w:val="left"/>
        <w:rPr>
          <w:rFonts w:hint="eastAsia" w:ascii="宋体" w:hAnsi="宋体" w:eastAsia="宋体" w:cs="宋体"/>
          <w:sz w:val="24"/>
          <w:szCs w:val="24"/>
        </w:rPr>
      </w:pPr>
    </w:p>
    <w:p w14:paraId="5DB34908">
      <w:pPr>
        <w:pStyle w:val="18"/>
        <w:numPr>
          <w:numId w:val="0"/>
        </w:numPr>
        <w:spacing w:before="120" w:after="120" w:line="288" w:lineRule="auto"/>
        <w:jc w:val="left"/>
        <w:rPr>
          <w:rFonts w:hint="eastAsia" w:ascii="宋体" w:hAnsi="宋体" w:eastAsia="宋体" w:cs="宋体"/>
          <w:sz w:val="24"/>
          <w:szCs w:val="24"/>
        </w:rPr>
      </w:pPr>
    </w:p>
    <w:p w14:paraId="54010C31">
      <w:pPr>
        <w:pStyle w:val="18"/>
        <w:numPr>
          <w:numId w:val="0"/>
        </w:numPr>
        <w:spacing w:before="120" w:after="120" w:line="288" w:lineRule="auto"/>
        <w:jc w:val="left"/>
        <w:rPr>
          <w:rFonts w:hint="eastAsia" w:ascii="宋体" w:hAnsi="宋体" w:eastAsia="宋体" w:cs="宋体"/>
          <w:sz w:val="24"/>
          <w:szCs w:val="24"/>
        </w:rPr>
      </w:pPr>
    </w:p>
    <w:p w14:paraId="3F7AB349">
      <w:pPr>
        <w:pStyle w:val="18"/>
        <w:numPr>
          <w:numId w:val="0"/>
        </w:numPr>
        <w:spacing w:before="120" w:after="120" w:line="288" w:lineRule="auto"/>
        <w:jc w:val="left"/>
        <w:rPr>
          <w:rFonts w:hint="eastAsia" w:ascii="宋体" w:hAnsi="宋体" w:eastAsia="宋体" w:cs="宋体"/>
          <w:sz w:val="24"/>
          <w:szCs w:val="24"/>
        </w:rPr>
      </w:pPr>
    </w:p>
    <w:p w14:paraId="7CB9AEA1">
      <w:pPr>
        <w:pStyle w:val="18"/>
        <w:numPr>
          <w:numId w:val="0"/>
        </w:numPr>
        <w:spacing w:before="120" w:after="120" w:line="288" w:lineRule="auto"/>
        <w:jc w:val="left"/>
        <w:rPr>
          <w:rFonts w:hint="eastAsia" w:ascii="宋体" w:hAnsi="宋体" w:eastAsia="宋体" w:cs="宋体"/>
          <w:sz w:val="24"/>
          <w:szCs w:val="24"/>
        </w:rPr>
      </w:pPr>
    </w:p>
    <w:p w14:paraId="632FEA3A">
      <w:pPr>
        <w:pStyle w:val="18"/>
        <w:numPr>
          <w:numId w:val="0"/>
        </w:numPr>
        <w:spacing w:before="120" w:after="120" w:line="288" w:lineRule="auto"/>
        <w:jc w:val="left"/>
        <w:rPr>
          <w:rFonts w:hint="eastAsia" w:ascii="宋体" w:hAnsi="宋体" w:eastAsia="宋体" w:cs="宋体"/>
          <w:sz w:val="24"/>
          <w:szCs w:val="24"/>
        </w:rPr>
      </w:pPr>
    </w:p>
    <w:p w14:paraId="6000F5D1">
      <w:pPr>
        <w:pStyle w:val="18"/>
        <w:numPr>
          <w:numId w:val="0"/>
        </w:numPr>
        <w:spacing w:before="120" w:after="120" w:line="288" w:lineRule="auto"/>
        <w:jc w:val="left"/>
        <w:rPr>
          <w:rFonts w:hint="eastAsia" w:ascii="宋体" w:hAnsi="宋体" w:eastAsia="宋体" w:cs="宋体"/>
          <w:sz w:val="24"/>
          <w:szCs w:val="24"/>
        </w:rPr>
      </w:pPr>
    </w:p>
    <w:p w14:paraId="558F61CB">
      <w:pPr>
        <w:pStyle w:val="18"/>
        <w:numPr>
          <w:numId w:val="0"/>
        </w:numPr>
        <w:spacing w:before="120" w:after="120" w:line="288" w:lineRule="auto"/>
        <w:jc w:val="left"/>
        <w:rPr>
          <w:rFonts w:hint="eastAsia" w:ascii="宋体" w:hAnsi="宋体" w:eastAsia="宋体" w:cs="宋体"/>
          <w:sz w:val="24"/>
          <w:szCs w:val="24"/>
        </w:rPr>
      </w:pPr>
    </w:p>
    <w:p w14:paraId="5E70A105">
      <w:pPr>
        <w:pStyle w:val="18"/>
        <w:numPr>
          <w:numId w:val="0"/>
        </w:numPr>
        <w:spacing w:before="120" w:after="120" w:line="288" w:lineRule="auto"/>
        <w:jc w:val="left"/>
        <w:rPr>
          <w:rFonts w:hint="eastAsia" w:ascii="宋体" w:hAnsi="宋体" w:eastAsia="宋体" w:cs="宋体"/>
          <w:sz w:val="24"/>
          <w:szCs w:val="24"/>
          <w:lang w:val="en-US" w:eastAsia="zh-CN"/>
        </w:rPr>
      </w:pPr>
    </w:p>
    <w:p w14:paraId="2C62828F">
      <w:pPr>
        <w:pStyle w:val="3"/>
        <w:numPr>
          <w:ilvl w:val="0"/>
          <w:numId w:val="11"/>
        </w:numPr>
        <w:ind w:left="0" w:leftChars="0"/>
        <w:jc w:val="center"/>
        <w:outlineLvl w:val="0"/>
        <w:rPr>
          <w:rFonts w:hint="eastAsia" w:ascii="宋体" w:hAnsi="宋体" w:eastAsia="宋体" w:cs="宋体"/>
          <w:sz w:val="36"/>
          <w:szCs w:val="36"/>
        </w:rPr>
      </w:pPr>
      <w:bookmarkStart w:id="21" w:name="_Toc8155"/>
      <w:r>
        <w:rPr>
          <w:rFonts w:hint="eastAsia" w:ascii="宋体" w:hAnsi="宋体" w:eastAsia="宋体" w:cs="宋体"/>
          <w:sz w:val="36"/>
          <w:szCs w:val="36"/>
          <w:lang w:val="en-US" w:eastAsia="zh-CN"/>
        </w:rPr>
        <w:t>项目优化建议</w:t>
      </w:r>
      <w:bookmarkEnd w:id="21"/>
    </w:p>
    <w:p w14:paraId="2064D72F">
      <w:pPr>
        <w:pStyle w:val="18"/>
        <w:numPr>
          <w:ilvl w:val="0"/>
          <w:numId w:val="13"/>
        </w:numPr>
        <w:ind w:left="288" w:leftChars="0" w:hanging="288" w:firstLineChars="0"/>
        <w:outlineLvl w:val="1"/>
        <w:rPr>
          <w:rFonts w:hint="eastAsia" w:ascii="宋体" w:hAnsi="宋体" w:eastAsia="宋体" w:cs="宋体"/>
          <w:sz w:val="24"/>
          <w:szCs w:val="24"/>
        </w:rPr>
      </w:pPr>
      <w:bookmarkStart w:id="22" w:name="_Toc23511"/>
      <w:r>
        <w:rPr>
          <w:rFonts w:hint="eastAsia" w:ascii="宋体" w:hAnsi="宋体" w:eastAsia="宋体" w:cs="宋体"/>
          <w:b/>
          <w:bCs/>
          <w:sz w:val="24"/>
          <w:szCs w:val="24"/>
        </w:rPr>
        <w:t>精准定位目标群体，分层推进科普与培训</w:t>
      </w:r>
      <w:bookmarkEnd w:id="22"/>
    </w:p>
    <w:p w14:paraId="5031EB96">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针对主要采购者：开展 “AI 小程序实操培训”，重点讲解标签识别、隐患举报功能，发放操作手册，确保其熟练使用工具参与共治；</w:t>
      </w:r>
    </w:p>
    <w:p w14:paraId="411B0ADA">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针对 18-30 岁年轻人：招募为 “社区食品安全志愿者”，协助组织科普活动（如线上直播讲解 AI 工具），动员中老年群体参与；</w:t>
      </w:r>
    </w:p>
    <w:p w14:paraId="278B6655">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针对中老年群体：制作简易版 AI 小程序操作视频（突出大字体、步骤简化），通过社区讲座结合实物演示（如现场用小程序识别食品标签），降低操作顾虑。</w:t>
      </w:r>
    </w:p>
    <w:p w14:paraId="2B8F15C1">
      <w:pPr>
        <w:pStyle w:val="18"/>
        <w:numPr>
          <w:ilvl w:val="0"/>
          <w:numId w:val="15"/>
        </w:numPr>
        <w:ind w:left="288" w:leftChars="0" w:hanging="288" w:firstLineChars="0"/>
        <w:outlineLvl w:val="1"/>
        <w:rPr>
          <w:rFonts w:hint="eastAsia" w:ascii="宋体" w:hAnsi="宋体" w:eastAsia="宋体" w:cs="宋体"/>
          <w:sz w:val="24"/>
          <w:szCs w:val="24"/>
        </w:rPr>
      </w:pPr>
      <w:bookmarkStart w:id="23" w:name="_Toc23568"/>
      <w:r>
        <w:rPr>
          <w:rFonts w:hint="eastAsia" w:ascii="宋体" w:hAnsi="宋体" w:eastAsia="宋体" w:cs="宋体"/>
          <w:b/>
          <w:bCs/>
          <w:sz w:val="24"/>
          <w:szCs w:val="24"/>
        </w:rPr>
        <w:t>优化 AI 智慧检测小程序功能，解决核心痛点</w:t>
      </w:r>
      <w:bookmarkEnd w:id="23"/>
    </w:p>
    <w:p w14:paraId="694AB7F8">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安全与信任：采用数据加密技术，明确用户信息保护条款，公示数据来源（如对接普陀区市场监管局检测数据库），增设 “数据可信度说明” 模块；</w:t>
      </w:r>
    </w:p>
    <w:p w14:paraId="1A6DFF88">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功能优先级：首期上线 “食品标签识别”“风险预警”“隐患举报” 功能，标签识别重点覆盖生产日期、保质期、生产批号、过敏成分，风险预警结合检测数据推送区域内高风险食品提示；</w:t>
      </w:r>
    </w:p>
    <w:p w14:paraId="56232743">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操作简化：设计 “老年模式”，支持语音输入查询、一键举报，减少跳转步骤，确保不同年龄群体易用性。</w:t>
      </w:r>
    </w:p>
    <w:p w14:paraId="4F68D19B">
      <w:pPr>
        <w:pStyle w:val="18"/>
        <w:numPr>
          <w:ilvl w:val="0"/>
          <w:numId w:val="15"/>
        </w:numPr>
        <w:ind w:left="288" w:leftChars="0" w:hanging="288" w:firstLineChars="0"/>
        <w:outlineLvl w:val="1"/>
        <w:rPr>
          <w:rFonts w:hint="eastAsia" w:ascii="宋体" w:hAnsi="宋体" w:eastAsia="宋体" w:cs="宋体"/>
          <w:sz w:val="24"/>
          <w:szCs w:val="24"/>
        </w:rPr>
      </w:pPr>
      <w:bookmarkStart w:id="24" w:name="_Toc7690"/>
      <w:r>
        <w:rPr>
          <w:rFonts w:hint="eastAsia" w:ascii="宋体" w:hAnsi="宋体" w:eastAsia="宋体" w:cs="宋体"/>
          <w:b/>
          <w:bCs/>
          <w:sz w:val="24"/>
          <w:szCs w:val="24"/>
        </w:rPr>
        <w:t>完善网格共治机制，构建 “线上 + 线下” 闭环</w:t>
      </w:r>
      <w:bookmarkEnd w:id="24"/>
    </w:p>
    <w:p w14:paraId="3EFF410D">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线上闭环：AI 小程序接收居民举报后，自动流转至对应网格员，网格员处理后需在 48 小时内上传结果（如整改照片、处理意见），居民可实时查询进度；</w:t>
      </w:r>
    </w:p>
    <w:p w14:paraId="3B604943">
      <w:pPr>
        <w:pStyle w:val="18"/>
        <w:numPr>
          <w:ilvl w:val="1"/>
          <w:numId w:val="14"/>
        </w:numPr>
        <w:rPr>
          <w:rFonts w:hint="eastAsia" w:ascii="宋体" w:hAnsi="宋体" w:eastAsia="宋体" w:cs="宋体"/>
          <w:sz w:val="24"/>
          <w:szCs w:val="24"/>
        </w:rPr>
      </w:pPr>
      <w:r>
        <w:rPr>
          <w:rFonts w:hint="eastAsia" w:ascii="宋体" w:hAnsi="宋体" w:eastAsia="宋体" w:cs="宋体"/>
          <w:sz w:val="24"/>
          <w:szCs w:val="24"/>
        </w:rPr>
        <w:t>线下联动：联合社区科普站、市场监管部门，每月开展 “AI + 现场检测” 活动（如用小程序为居民现场解读食品标签），同时收集居民反馈，动态优化小程序功能；</w:t>
      </w:r>
    </w:p>
    <w:p w14:paraId="6290A1F0">
      <w:pPr>
        <w:pStyle w:val="18"/>
        <w:numPr>
          <w:ilvl w:val="0"/>
          <w:numId w:val="0"/>
        </w:numPr>
        <w:spacing w:before="120" w:after="120" w:line="288" w:lineRule="auto"/>
        <w:jc w:val="left"/>
        <w:rPr>
          <w:rFonts w:hint="eastAsia" w:ascii="宋体" w:hAnsi="宋体" w:eastAsia="宋体" w:cs="宋体"/>
          <w:sz w:val="24"/>
          <w:szCs w:val="24"/>
        </w:rPr>
      </w:pPr>
    </w:p>
    <w:p w14:paraId="41685E4E">
      <w:pPr>
        <w:pStyle w:val="18"/>
        <w:numPr>
          <w:ilvl w:val="0"/>
          <w:numId w:val="0"/>
        </w:numPr>
        <w:spacing w:before="120" w:after="120" w:line="288" w:lineRule="auto"/>
        <w:jc w:val="left"/>
        <w:rPr>
          <w:rFonts w:hint="eastAsia" w:ascii="宋体" w:hAnsi="宋体" w:eastAsia="宋体" w:cs="宋体"/>
          <w:sz w:val="24"/>
          <w:szCs w:val="24"/>
        </w:rPr>
      </w:pPr>
    </w:p>
    <w:p w14:paraId="3FFC4D3A">
      <w:pPr>
        <w:pStyle w:val="18"/>
        <w:numPr>
          <w:ilvl w:val="0"/>
          <w:numId w:val="0"/>
        </w:numPr>
        <w:spacing w:before="120" w:after="120" w:line="288" w:lineRule="auto"/>
        <w:jc w:val="left"/>
        <w:rPr>
          <w:rFonts w:hint="eastAsia" w:ascii="宋体" w:hAnsi="宋体" w:eastAsia="宋体" w:cs="宋体"/>
          <w:sz w:val="24"/>
          <w:szCs w:val="24"/>
        </w:rPr>
      </w:pPr>
    </w:p>
    <w:p w14:paraId="26BD66C1">
      <w:pPr>
        <w:pStyle w:val="18"/>
        <w:numPr>
          <w:ilvl w:val="0"/>
          <w:numId w:val="0"/>
        </w:numPr>
        <w:spacing w:before="120" w:after="120" w:line="288" w:lineRule="auto"/>
        <w:jc w:val="left"/>
        <w:rPr>
          <w:rFonts w:hint="eastAsia" w:ascii="宋体" w:hAnsi="宋体" w:eastAsia="宋体" w:cs="宋体"/>
          <w:sz w:val="24"/>
          <w:szCs w:val="24"/>
        </w:rPr>
      </w:pPr>
    </w:p>
    <w:p w14:paraId="7EFD4EA1">
      <w:pPr>
        <w:pStyle w:val="18"/>
        <w:numPr>
          <w:ilvl w:val="0"/>
          <w:numId w:val="0"/>
        </w:numPr>
        <w:spacing w:before="120" w:after="120" w:line="288" w:lineRule="auto"/>
        <w:jc w:val="left"/>
        <w:rPr>
          <w:rFonts w:hint="eastAsia" w:ascii="宋体" w:hAnsi="宋体" w:eastAsia="宋体" w:cs="宋体"/>
          <w:sz w:val="24"/>
          <w:szCs w:val="24"/>
        </w:rPr>
      </w:pPr>
    </w:p>
    <w:p w14:paraId="4549DE96">
      <w:pPr>
        <w:pStyle w:val="18"/>
        <w:numPr>
          <w:ilvl w:val="0"/>
          <w:numId w:val="0"/>
        </w:numPr>
        <w:spacing w:before="120" w:after="120" w:line="288" w:lineRule="auto"/>
        <w:jc w:val="left"/>
        <w:rPr>
          <w:rFonts w:hint="eastAsia" w:ascii="宋体" w:hAnsi="宋体" w:eastAsia="宋体" w:cs="宋体"/>
          <w:sz w:val="24"/>
          <w:szCs w:val="24"/>
        </w:rPr>
      </w:pPr>
    </w:p>
    <w:p w14:paraId="62BA99DF">
      <w:pPr>
        <w:pStyle w:val="18"/>
        <w:numPr>
          <w:ilvl w:val="0"/>
          <w:numId w:val="0"/>
        </w:numPr>
        <w:spacing w:before="120" w:after="120" w:line="288" w:lineRule="auto"/>
        <w:jc w:val="left"/>
        <w:rPr>
          <w:rFonts w:hint="eastAsia" w:ascii="宋体" w:hAnsi="宋体" w:eastAsia="宋体" w:cs="宋体"/>
          <w:sz w:val="24"/>
          <w:szCs w:val="24"/>
        </w:rPr>
      </w:pPr>
    </w:p>
    <w:p w14:paraId="26F42089">
      <w:pPr>
        <w:pStyle w:val="3"/>
        <w:numPr>
          <w:ilvl w:val="0"/>
          <w:numId w:val="16"/>
        </w:numPr>
        <w:ind w:left="0" w:leftChars="0"/>
        <w:jc w:val="center"/>
        <w:outlineLvl w:val="0"/>
        <w:rPr>
          <w:rFonts w:hint="eastAsia" w:ascii="宋体" w:hAnsi="宋体" w:eastAsia="宋体" w:cs="宋体"/>
          <w:sz w:val="36"/>
          <w:szCs w:val="36"/>
          <w:lang w:val="en-US" w:eastAsia="zh-CN"/>
        </w:rPr>
      </w:pPr>
      <w:bookmarkStart w:id="25" w:name="_Toc12955"/>
      <w:r>
        <w:rPr>
          <w:rFonts w:hint="eastAsia" w:ascii="宋体" w:hAnsi="宋体" w:eastAsia="宋体" w:cs="宋体"/>
          <w:sz w:val="36"/>
          <w:szCs w:val="36"/>
          <w:lang w:val="en-US" w:eastAsia="zh-CN"/>
        </w:rPr>
        <w:t>参考文献</w:t>
      </w:r>
      <w:bookmarkEnd w:id="25"/>
    </w:p>
    <w:p w14:paraId="1F5F4033">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rPr>
        <w:t>[1]</w:t>
      </w:r>
      <w:r>
        <w:rPr>
          <w:rFonts w:hint="eastAsia" w:ascii="宋体" w:hAnsi="宋体" w:eastAsia="宋体" w:cs="宋体"/>
          <w:sz w:val="24"/>
          <w:szCs w:val="24"/>
          <w:lang w:eastAsia="zh-CN"/>
        </w:rPr>
        <w:t>侯娟</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创建食品安全社区的问题与对策 [J]. 中国食品工业，2023 (10):53-55.</w:t>
      </w:r>
    </w:p>
    <w:p w14:paraId="059AF8DC">
      <w:pPr>
        <w:pStyle w:val="18"/>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]蔡岩兵，刘一鸣，刘洁琼</w:t>
      </w:r>
      <w:r>
        <w:rPr>
          <w:rFonts w:hint="eastAsia" w:ascii="宋体" w:hAnsi="宋体" w:eastAsia="宋体" w:cs="宋体"/>
          <w:sz w:val="24"/>
          <w:szCs w:val="24"/>
          <w:lang w:val="en-US" w:eastAsia="zh-CN"/>
        </w:rPr>
        <w:t>.</w:t>
      </w:r>
      <w:r>
        <w:rPr>
          <w:rFonts w:hint="eastAsia" w:ascii="宋体" w:hAnsi="宋体" w:eastAsia="宋体" w:cs="宋体"/>
          <w:sz w:val="24"/>
          <w:szCs w:val="24"/>
        </w:rPr>
        <w:t>基于食品安全风险感知对消费者行为的影响研究 —— 以山东省社区团购情景下的生鲜食品消费为例 [J]. 山东工商学院学报，2024, 38 (5):104-114.</w:t>
      </w:r>
    </w:p>
    <w:p w14:paraId="7BA64C34">
      <w:pPr>
        <w:pStyle w:val="18"/>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]林小晖，宋菁景，刘雪</w:t>
      </w:r>
      <w:r>
        <w:rPr>
          <w:rFonts w:hint="eastAsia" w:ascii="宋体" w:hAnsi="宋体" w:eastAsia="宋体" w:cs="宋体"/>
          <w:sz w:val="24"/>
          <w:szCs w:val="24"/>
          <w:lang w:val="en-US" w:eastAsia="zh-CN"/>
        </w:rPr>
        <w:t>.</w:t>
      </w:r>
      <w:r>
        <w:rPr>
          <w:rFonts w:hint="eastAsia" w:ascii="宋体" w:hAnsi="宋体" w:eastAsia="宋体" w:cs="宋体"/>
          <w:sz w:val="24"/>
          <w:szCs w:val="24"/>
        </w:rPr>
        <w:t>新形势下社区团购的食品安全风险及监管对策 [J]. 食品安全导刊，2022 (23):13-15.</w:t>
      </w:r>
    </w:p>
    <w:p w14:paraId="61FED4CF">
      <w:pPr>
        <w:pStyle w:val="18"/>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]倪盼杰，屈嘉怡，沈天音</w:t>
      </w:r>
      <w:r>
        <w:rPr>
          <w:rFonts w:hint="eastAsia" w:ascii="宋体" w:hAnsi="宋体" w:eastAsia="宋体" w:cs="宋体"/>
          <w:sz w:val="24"/>
          <w:szCs w:val="24"/>
          <w:lang w:val="en-US" w:eastAsia="zh-CN"/>
        </w:rPr>
        <w:t>.</w:t>
      </w:r>
      <w:r>
        <w:rPr>
          <w:rFonts w:hint="eastAsia" w:ascii="宋体" w:hAnsi="宋体" w:eastAsia="宋体" w:cs="宋体"/>
          <w:sz w:val="24"/>
          <w:szCs w:val="24"/>
        </w:rPr>
        <w:t>上海市部分社区食品安全科普现状与有效性探索 [J]. 上海师范大学学报 (自然科学版), 2021, 50 (2):216-223.</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9DB0F"/>
    <w:multiLevelType w:val="multilevel"/>
    <w:tmpl w:val="8129DB0F"/>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9684810A"/>
    <w:multiLevelType w:val="multilevel"/>
    <w:tmpl w:val="9684810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AB526DEC"/>
    <w:multiLevelType w:val="multilevel"/>
    <w:tmpl w:val="AB526DEC"/>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CC68650D"/>
    <w:multiLevelType w:val="multilevel"/>
    <w:tmpl w:val="CC68650D"/>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4">
    <w:nsid w:val="D7C64121"/>
    <w:multiLevelType w:val="multilevel"/>
    <w:tmpl w:val="D7C64121"/>
    <w:lvl w:ilvl="0" w:tentative="0">
      <w:start w:val="5"/>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
    <w:nsid w:val="FDE30153"/>
    <w:multiLevelType w:val="singleLevel"/>
    <w:tmpl w:val="FDE30153"/>
    <w:lvl w:ilvl="0" w:tentative="0">
      <w:start w:val="7"/>
      <w:numFmt w:val="chineseCounting"/>
      <w:suff w:val="nothing"/>
      <w:lvlText w:val="%1、"/>
      <w:lvlJc w:val="left"/>
      <w:rPr>
        <w:rFonts w:hint="eastAsia"/>
      </w:rPr>
    </w:lvl>
  </w:abstractNum>
  <w:abstractNum w:abstractNumId="6">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7">
    <w:nsid w:val="03D62ECE"/>
    <w:multiLevelType w:val="multilevel"/>
    <w:tmpl w:val="03D62EC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8">
    <w:nsid w:val="0E4E72F9"/>
    <w:multiLevelType w:val="multilevel"/>
    <w:tmpl w:val="0E4E72F9"/>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9">
    <w:nsid w:val="353DCCE1"/>
    <w:multiLevelType w:val="multilevel"/>
    <w:tmpl w:val="353DCCE1"/>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0">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1">
    <w:nsid w:val="5D43F9EC"/>
    <w:multiLevelType w:val="multilevel"/>
    <w:tmpl w:val="5D43F9EC"/>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6"/>
    <w:lvlOverride w:ilvl="0">
      <w:startOverride w:val="1"/>
    </w:lvlOverride>
  </w:num>
  <w:num w:numId="2">
    <w:abstractNumId w:val="6"/>
    <w:lvlOverride w:ilvl="0">
      <w:startOverride w:val="1"/>
    </w:lvlOverride>
  </w:num>
  <w:num w:numId="3">
    <w:abstractNumId w:val="11"/>
  </w:num>
  <w:num w:numId="4">
    <w:abstractNumId w:val="10"/>
    <w:lvlOverride w:ilvl="0">
      <w:startOverride w:val="1"/>
    </w:lvlOverride>
  </w:num>
  <w:num w:numId="5">
    <w:abstractNumId w:val="8"/>
  </w:num>
  <w:num w:numId="6">
    <w:abstractNumId w:val="3"/>
  </w:num>
  <w:num w:numId="7">
    <w:abstractNumId w:val="0"/>
  </w:num>
  <w:num w:numId="8">
    <w:abstractNumId w:val="9"/>
  </w:num>
  <w:num w:numId="9">
    <w:abstractNumId w:val="2"/>
  </w:num>
  <w:num w:numId="10">
    <w:abstractNumId w:val="1"/>
  </w:num>
  <w:num w:numId="11">
    <w:abstractNumId w:val="4"/>
  </w:num>
  <w:num w:numId="12">
    <w:abstractNumId w:val="6"/>
    <w:lvlOverride w:ilvl="0">
      <w:startOverride w:val="1"/>
    </w:lvlOverride>
  </w:num>
  <w:num w:numId="13">
    <w:abstractNumId w:val="6"/>
    <w:lvlOverride w:ilvl="0">
      <w:startOverride w:val="1"/>
    </w:lvlOverride>
  </w:num>
  <w:num w:numId="14">
    <w:abstractNumId w:val="7"/>
    <w:lvlOverride w:ilvl="0">
      <w:startOverride w:val="1"/>
    </w:lvlOverride>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7BB4314"/>
    <w:rsid w:val="136C4CD2"/>
    <w:rsid w:val="204752C1"/>
    <w:rsid w:val="21872191"/>
    <w:rsid w:val="22ED33C9"/>
    <w:rsid w:val="3595610B"/>
    <w:rsid w:val="364104FF"/>
    <w:rsid w:val="39CA311A"/>
    <w:rsid w:val="3CDF7035"/>
    <w:rsid w:val="474E7399"/>
    <w:rsid w:val="586B3B20"/>
    <w:rsid w:val="680520EA"/>
    <w:rsid w:val="6C8F53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toc 1"/>
    <w:basedOn w:val="1"/>
    <w:next w:val="1"/>
    <w:qFormat/>
    <w:uiPriority w:val="0"/>
  </w:style>
  <w:style w:type="paragraph" w:styleId="9">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0">
    <w:name w:val="toc 2"/>
    <w:basedOn w:val="1"/>
    <w:next w:val="1"/>
    <w:qFormat/>
    <w:uiPriority w:val="0"/>
    <w:pPr>
      <w:ind w:left="420" w:leftChars="200"/>
    </w:pPr>
  </w:style>
  <w:style w:type="paragraph" w:styleId="11">
    <w:name w:val="Title"/>
    <w:qFormat/>
    <w:uiPriority w:val="0"/>
    <w:pPr>
      <w:spacing w:before="480" w:after="480" w:line="288" w:lineRule="auto"/>
      <w:ind w:left="0"/>
    </w:pPr>
    <w:rPr>
      <w:rFonts w:ascii="Arial" w:hAnsi="Arial" w:eastAsia="等线" w:cs="Arial"/>
      <w:b/>
      <w:bCs/>
      <w:sz w:val="52"/>
      <w:szCs w:val="52"/>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qFormat/>
    <w:uiPriority w:val="99"/>
    <w:rPr>
      <w:sz w:val="20"/>
      <w:szCs w:val="20"/>
    </w:rPr>
  </w:style>
  <w:style w:type="paragraph" w:customStyle="1" w:styleId="18">
    <w:name w:val="_Style 13"/>
    <w:qFormat/>
    <w:uiPriority w:val="0"/>
    <w:pPr>
      <w:spacing w:before="120" w:after="120" w:line="288" w:lineRule="auto"/>
      <w:ind w:left="0"/>
      <w:jc w:val="left"/>
    </w:pPr>
    <w:rPr>
      <w:rFonts w:ascii="Arial" w:hAnsi="Arial" w:eastAsia="等线" w:cs="Arial"/>
      <w:sz w:val="22"/>
      <w:szCs w:val="22"/>
    </w:rPr>
  </w:style>
  <w:style w:type="paragraph" w:customStyle="1" w:styleId="19">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6187</Words>
  <Characters>8157</Characters>
  <TotalTime>24</TotalTime>
  <ScaleCrop>false</ScaleCrop>
  <LinksUpToDate>false</LinksUpToDate>
  <CharactersWithSpaces>8839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2025-09-05T17:57:00Z</dcterms:created>
  <dc:creator>Un-named</dc:creator>
  <cp:lastModifiedBy>Sindy毛燕上海</cp:lastModifiedBy>
  <dcterms:modified xsi:type="dcterms:W3CDTF">2025-09-18T06:25:16Z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eyJoZGlkIjoiMzEwNTM5NzYwMDRjMzkwZTVkZjY2ODkwMGIxNGU0OTUiLCJ1c2VySWQiOiI0NDE0NTE0OTMifQ==</vt:lpwstr>
  </property>
  <property fmtid="{D5CDD505-2E9C-101B-9397-08002B2CF9AE}" pid="3" name="KSOProductBuildVer">
    <vt:lpwstr>2052-12.1.0.22529</vt:lpwstr>
  </property>
  <property fmtid="{D5CDD505-2E9C-101B-9397-08002B2CF9AE}" pid="4" name="ICV">
    <vt:lpwstr>38F908DDE31F4F1DAC3A350613BB7C29_12</vt:lpwstr>
  </property>
</Properties>
</file>