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89AB7">
      <w:pPr>
        <w:ind w:firstLine="384" w:firstLineChars="200"/>
      </w:pPr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19"/>
          <w:szCs w:val="19"/>
          <w:shd w:val="clear" w:fill="FFFFFF"/>
        </w:rPr>
        <w:t>暑期社会实践数据分析工作心得体会 参与“AI赋能社区食品安全共治新生态”暑期实践项目的数据分析工作，让我对“数据服务民生”有了真切的认知。 项目中，我主要负责处理</w:t>
      </w:r>
      <w:r>
        <w:rPr>
          <w:rFonts w:hint="eastAsia" w:ascii="Segoe UI" w:hAnsi="Segoe UI" w:eastAsia="宋体" w:cs="Segoe UI"/>
          <w:i w:val="0"/>
          <w:iCs w:val="0"/>
          <w:caps w:val="0"/>
          <w:color w:val="1C1F23"/>
          <w:spacing w:val="0"/>
          <w:sz w:val="19"/>
          <w:szCs w:val="19"/>
          <w:shd w:val="clear" w:fill="FFFFFF"/>
          <w:lang w:val="en-US" w:eastAsia="zh-CN"/>
        </w:rPr>
        <w:t>210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1C1F23"/>
          <w:spacing w:val="0"/>
          <w:sz w:val="19"/>
          <w:szCs w:val="19"/>
          <w:shd w:val="clear" w:fill="FFFFFF"/>
        </w:rPr>
        <w:t>份调研问卷与深度访谈数据，涵盖市场监管人员、社区志愿者及居民等群体。起初面对杂乱的原始数据——如居民对AI技术认知的模糊表述、不同群体对监管需求的差异反馈，我曾陷入困境。但通过分类清洗数据、运用描述性统计梳理共性问题，再结合机器学习模型预测社区食品安全风险趋势，逐渐让数据“说话”：我们发现80%居民渴望直观的食品成分解读，这为后续AI小程序优化“成分-剂量-建议”展示功能提供了关键依据；而监管人员提及的“响应滞后”问题，则推动了“线上预警+网格处置”联动方案的完善。 这段经历让我跳出课本，明白数据分析不是冰冷的计算，而是连接技术与需求的桥梁。当看到自己分析的结论融入《社区食品安全AI应用建议书》，成为推动居民参与食安共治的参考时，我更深刻体会到专业能力的社会价值。未来，我会继续探索数据与民生领域的结合，用技术为基层治理贡献更多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C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2025-09-13T13:56:21Z</dcterms:created>
  <dc:creator>hano1</dc:creator>
  <cp:lastModifiedBy>Sindy毛燕上海</cp:lastModifiedBy>
  <dcterms:modified xsi:type="dcterms:W3CDTF">2025-09-13T13:56:36Z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eyJoZGlkIjoiMzEwNTM5NzYwMDRjMzkwZTVkZjY2ODkwMGIxNGU0OTUiLCJ1c2VySWQiOiI0NDE0NTE0OTMifQ==</vt:lpwstr>
  </property>
  <property fmtid="{D5CDD505-2E9C-101B-9397-08002B2CF9AE}" pid="4" name="ICV">
    <vt:lpwstr>3B61B42D39104639BF028578D9A78BAC_12</vt:lpwstr>
  </property>
</Properties>
</file>