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600" w:line="300"/>
        <w:jc w:val="center"/>
      </w:pPr>
      <w:r>
        <w:rPr>
          <w:rFonts w:ascii="Arial" w:cs="Arial" w:eastAsia="Arial" w:hAnsi="Arial"/>
          <w:b/>
          <w:bCs/>
          <w:color w:val="0F6CBD"/>
          <w:spacing w:val="120"/>
          <w:sz w:val="24"/>
          <w:szCs w:val="24"/>
        </w:rPr>
        <w:t xml:space="preserve">HR AGENT SIDECAR</w:t>
      </w:r>
    </w:p>
    <w:p>
      <w:pPr>
        <w:spacing w:after="260" w:before="0" w:line="300"/>
        <w:jc w:val="center"/>
      </w:pPr>
      <w:r>
        <w:rPr>
          <w:rFonts w:ascii="Arial" w:cs="Arial" w:eastAsia="Arial" w:hAnsi="Arial"/>
          <w:b/>
          <w:bCs/>
          <w:color w:val="17365D"/>
          <w:sz w:val="42"/>
          <w:szCs w:val="42"/>
        </w:rPr>
        <w:t xml:space="preserve">Solution and Entity Guide</w:t>
      </w:r>
    </w:p>
    <w:p>
      <w:pPr>
        <w:spacing w:after="520" w:before="0" w:line="300"/>
        <w:jc w:val="center"/>
      </w:pPr>
      <w:r>
        <w:rPr>
          <w:rFonts w:ascii="Arial" w:cs="Arial" w:eastAsia="Arial" w:hAnsi="Arial"/>
          <w:color w:val="5B6573"/>
          <w:sz w:val="26"/>
          <w:szCs w:val="26"/>
        </w:rPr>
        <w:t xml:space="preserve">Purpose, ownership, relationships, and correct use of the HR data model</w:t>
      </w:r>
    </w:p>
    <w:p>
      <w:pPr>
        <w:spacing w:after="120" w:before="0" w:line="300"/>
        <w:jc w:val="center"/>
      </w:pPr>
      <w:r>
        <w:rPr>
          <w:rFonts w:ascii="Arial" w:cs="Arial" w:eastAsia="Arial" w:hAnsi="Arial"/>
          <w:b/>
          <w:bCs/>
          <w:color w:val="1F2937"/>
          <w:sz w:val="22"/>
          <w:szCs w:val="22"/>
        </w:rPr>
        <w:t xml:space="preserve">Audience: HR administrators, managers, app makers, support teams, and auditors</w:t>
      </w:r>
    </w:p>
    <w:p>
      <w:pPr>
        <w:spacing w:after="900" w:before="0" w:line="300"/>
        <w:jc w:val="center"/>
      </w:pPr>
      <w:r>
        <w:rPr>
          <w:rFonts w:ascii="Arial" w:cs="Arial" w:eastAsia="Arial" w:hAnsi="Arial"/>
          <w:color w:val="5B6573"/>
          <w:sz w:val="22"/>
          <w:szCs w:val="22"/>
        </w:rPr>
        <w:t xml:space="preserve">Version 1.0  |  July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AF2F8" w:val="clear"/>
            <w:tcMar>
              <w:top w:type="dxa" w:w="100"/>
              <w:left w:type="dxa" w:w="120"/>
              <w:bottom w:type="dxa" w:w="100"/>
              <w:right w:type="dxa" w:w="120"/>
            </w:tcMar>
            <w:vAlign w:val="center"/>
          </w:tcPr>
          <w:p>
            <w:pPr>
              <w:spacing w:after="60" w:before="0" w:line="300"/>
            </w:pPr>
            <w:r>
              <w:rPr>
                <w:rFonts w:ascii="Arial" w:cs="Arial" w:eastAsia="Arial" w:hAnsi="Arial"/>
                <w:b/>
                <w:bCs/>
                <w:color w:val="17365D"/>
                <w:sz w:val="22"/>
                <w:szCs w:val="22"/>
              </w:rPr>
              <w:t xml:space="preserve">Document scope</w:t>
            </w:r>
          </w:p>
          <w:p>
            <w:pPr>
              <w:spacing w:after="0" w:before="0" w:line="300"/>
            </w:pPr>
            <w:r>
              <w:rPr>
                <w:rFonts w:ascii="Arial" w:cs="Arial" w:eastAsia="Arial" w:hAnsi="Arial"/>
                <w:color w:val="1F2937"/>
                <w:sz w:val="22"/>
                <w:szCs w:val="22"/>
              </w:rPr>
              <w:t xml:space="preserve">This guide describes the approved HR Agent Sidecar data model and required business process. It distinguishes current Dataverse schema from planned application, automation, and Copilot features.</w:t>
            </w:r>
          </w:p>
        </w:tc>
      </w:tr>
    </w:tbl>
    <w:p>
      <w:pPr>
        <w:spacing w:after="120" w:before="500" w:line="300"/>
        <w:jc w:val="center"/>
      </w:pPr>
      <w:r>
        <w:rPr>
          <w:rFonts w:ascii="Arial" w:cs="Arial" w:eastAsia="Arial" w:hAnsi="Arial"/>
          <w:color w:val="5B6573"/>
          <w:sz w:val="18"/>
          <w:szCs w:val="18"/>
        </w:rPr>
        <w:t xml:space="preserve">All names, dates, amounts, and identifiers in examples are fictional and intended for training.</w:t>
      </w:r>
    </w:p>
    <w:p>
      <w:r>
        <w:br w:type="page"/>
      </w:r>
    </w:p>
    <w:p>
      <w:pPr>
        <w:pStyle w:val="Heading1"/>
      </w:pPr>
      <w:r>
        <w:rPr>
          <w:rFonts w:ascii="Arial" w:cs="Arial" w:eastAsia="Arial" w:hAnsi="Arial"/>
          <w:b/>
          <w:bCs/>
          <w:color w:val="1F2937"/>
          <w:sz w:val="22"/>
          <w:szCs w:val="22"/>
        </w:rPr>
        <w:t xml:space="preserve">How to use this guide</w:t>
      </w:r>
    </w:p>
    <w:p>
      <w:pPr>
        <w:spacing w:after="120" w:before="0" w:line="300"/>
      </w:pPr>
      <w:r>
        <w:rPr>
          <w:rFonts w:ascii="Arial" w:cs="Arial" w:eastAsia="Arial" w:hAnsi="Arial"/>
          <w:color w:val="1F2937"/>
          <w:sz w:val="22"/>
          <w:szCs w:val="22"/>
        </w:rPr>
        <w:t xml:space="preserve">Use this guide to understand what each business entity represents, when it should be used, and how records relate. Process-specific data-entry instructions are provided in the companion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Item</w:t>
            </w:r>
          </w:p>
        </w:tc>
        <w:tc>
          <w:tcPr>
            <w:tcW w:type="dxa" w:w="716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Guidance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Intended audience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HR administrators, managers, app makers, support teams, and auditors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System of record</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Microsoft Dataverse in the HR Agent Sidecar solution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Naming convention</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Business names are shown first; Dataverse logical names appear in parentheses.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Required means</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The value must be present before the record can be considered process-ready. Dataverse business-required fields are also enforced by the platform or application.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Status discipline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Use the documented Status Reason transitions. Do not simulate process state with notes, record names, or ad hoc fields.</w:t>
            </w:r>
          </w:p>
        </w:tc>
      </w:tr>
    </w:tbl>
    <w:p>
      <w:pPr>
        <w:spacing w:after="120" w:before="0" w:line="30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4CE" w:val="clear"/>
            <w:tcMar>
              <w:top w:type="dxa" w:w="100"/>
              <w:left w:type="dxa" w:w="120"/>
              <w:bottom w:type="dxa" w:w="100"/>
              <w:right w:type="dxa" w:w="120"/>
            </w:tcMar>
            <w:vAlign w:val="center"/>
          </w:tcPr>
          <w:p>
            <w:pPr>
              <w:spacing w:after="60" w:before="0" w:line="300"/>
            </w:pPr>
            <w:r>
              <w:rPr>
                <w:rFonts w:ascii="Arial" w:cs="Arial" w:eastAsia="Arial" w:hAnsi="Arial"/>
                <w:b/>
                <w:bCs/>
                <w:color w:val="17365D"/>
                <w:sz w:val="22"/>
                <w:szCs w:val="22"/>
              </w:rPr>
              <w:t xml:space="preserve">Privacy and least privilege</w:t>
            </w:r>
          </w:p>
          <w:p>
            <w:pPr>
              <w:spacing w:after="0" w:before="0" w:line="300"/>
            </w:pPr>
            <w:r>
              <w:rPr>
                <w:rFonts w:ascii="Arial" w:cs="Arial" w:eastAsia="Arial" w:hAnsi="Arial"/>
                <w:color w:val="1F2937"/>
                <w:sz w:val="22"/>
                <w:szCs w:val="22"/>
              </w:rPr>
              <w:t xml:space="preserve">HR records can contain personal and financial information. Only enter data needed for the approved process. Do not place medical details, payment-card data, credentials, or unrelated sensitive information in free-text fields.</w:t>
            </w:r>
          </w:p>
        </w:tc>
      </w:tr>
    </w:tbl>
    <w:p>
      <w:pPr>
        <w:pStyle w:val="Heading1"/>
      </w:pPr>
      <w:r>
        <w:rPr>
          <w:rFonts w:ascii="Arial" w:cs="Arial" w:eastAsia="Arial" w:hAnsi="Arial"/>
          <w:b/>
          <w:bCs/>
          <w:color w:val="1F2937"/>
          <w:sz w:val="22"/>
          <w:szCs w:val="22"/>
        </w:rPr>
        <w:t xml:space="preserve">Solution purpose</w:t>
      </w:r>
    </w:p>
    <w:p>
      <w:pPr>
        <w:spacing w:after="120" w:before="0" w:line="300"/>
      </w:pPr>
      <w:r>
        <w:rPr>
          <w:rFonts w:ascii="Arial" w:cs="Arial" w:eastAsia="Arial" w:hAnsi="Arial"/>
          <w:color w:val="1F2937"/>
          <w:sz w:val="22"/>
          <w:szCs w:val="22"/>
        </w:rPr>
        <w:t xml:space="preserve">HR Agent Sidecar is a dedicated Dataverse solution for foundational employee organization data, time off, expense reimbursement, and benefits. It reuses standard Dataverse entities for Employee, Position, and Department, then adds seven HR-specific custom entities. The target experience is a Model-driven App with a contextual Copilot Studio side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4CE" w:val="clear"/>
            <w:tcMar>
              <w:top w:type="dxa" w:w="100"/>
              <w:left w:type="dxa" w:w="120"/>
              <w:bottom w:type="dxa" w:w="100"/>
              <w:right w:type="dxa" w:w="120"/>
            </w:tcMar>
            <w:vAlign w:val="center"/>
          </w:tcPr>
          <w:p>
            <w:pPr>
              <w:spacing w:after="60" w:before="0" w:line="300"/>
            </w:pPr>
            <w:r>
              <w:rPr>
                <w:rFonts w:ascii="Arial" w:cs="Arial" w:eastAsia="Arial" w:hAnsi="Arial"/>
                <w:b/>
                <w:bCs/>
                <w:color w:val="17365D"/>
                <w:sz w:val="22"/>
                <w:szCs w:val="22"/>
              </w:rPr>
              <w:t xml:space="preserve">Implementation status</w:t>
            </w:r>
          </w:p>
          <w:p>
            <w:pPr>
              <w:spacing w:after="0" w:before="0" w:line="300"/>
            </w:pPr>
            <w:r>
              <w:rPr>
                <w:rFonts w:ascii="Arial" w:cs="Arial" w:eastAsia="Arial" w:hAnsi="Arial"/>
                <w:color w:val="1F2937"/>
                <w:sz w:val="22"/>
                <w:szCs w:val="22"/>
              </w:rPr>
              <w:t xml:space="preserve">The Dataverse schema and unpacked solution source are implemented and validated. Model-driven App navigation/forms, security roles, Power Automate approval flows, and the Copilot side pane are planned solution components and must not be represented to users as active until deployed and tested.</w:t>
            </w:r>
          </w:p>
        </w:tc>
      </w:tr>
    </w:tbl>
    <w:p>
      <w:pPr>
        <w:pStyle w:val="Heading2"/>
      </w:pPr>
      <w:r>
        <w:rPr>
          <w:rFonts w:ascii="Arial" w:cs="Arial" w:eastAsia="Arial" w:hAnsi="Arial"/>
          <w:b/>
          <w:bCs/>
          <w:color w:val="1F2937"/>
          <w:sz w:val="22"/>
          <w:szCs w:val="22"/>
        </w:rPr>
        <w:t xml:space="preserve">Core design principles</w:t>
      </w:r>
    </w:p>
    <w:p>
      <w:pPr>
        <w:pStyle w:val="ListParagraph"/>
        <w:numPr>
          <w:ilvl w:val="0"/>
          <w:numId w:val="2"/>
        </w:numPr>
        <w:spacing w:after="80" w:line="280"/>
      </w:pPr>
      <w:r>
        <w:rPr>
          <w:rFonts w:ascii="Arial" w:cs="Arial" w:eastAsia="Arial" w:hAnsi="Arial"/>
          <w:color w:val="1F2937"/>
          <w:sz w:val="22"/>
          <w:szCs w:val="22"/>
        </w:rPr>
        <w:t xml:space="preserve">One business fact has one authoritative home. Example: reporting Manager belongs on Employee, not copied into every request.</w:t>
      </w:r>
    </w:p>
    <w:p>
      <w:pPr>
        <w:pStyle w:val="ListParagraph"/>
        <w:numPr>
          <w:ilvl w:val="0"/>
          <w:numId w:val="2"/>
        </w:numPr>
        <w:spacing w:after="80" w:line="280"/>
      </w:pPr>
      <w:r>
        <w:rPr>
          <w:rFonts w:ascii="Arial" w:cs="Arial" w:eastAsia="Arial" w:hAnsi="Arial"/>
          <w:color w:val="1F2937"/>
          <w:sz w:val="22"/>
          <w:szCs w:val="22"/>
        </w:rPr>
        <w:t xml:space="preserve">Reuse Dataverse platform entities and lifecycle columns instead of creating parallel employee, department, position, currency, owner, or status structures.</w:t>
      </w:r>
    </w:p>
    <w:p>
      <w:pPr>
        <w:pStyle w:val="ListParagraph"/>
        <w:numPr>
          <w:ilvl w:val="0"/>
          <w:numId w:val="2"/>
        </w:numPr>
        <w:spacing w:after="80" w:line="280"/>
      </w:pPr>
      <w:r>
        <w:rPr>
          <w:rFonts w:ascii="Arial" w:cs="Arial" w:eastAsia="Arial" w:hAnsi="Arial"/>
          <w:color w:val="1F2937"/>
          <w:sz w:val="22"/>
          <w:szCs w:val="22"/>
        </w:rPr>
        <w:t xml:space="preserve">Personal HR records are user-owned and require least-privilege access. Reference data is organization-owned.</w:t>
      </w:r>
    </w:p>
    <w:p>
      <w:pPr>
        <w:pStyle w:val="ListParagraph"/>
        <w:numPr>
          <w:ilvl w:val="0"/>
          <w:numId w:val="2"/>
        </w:numPr>
        <w:spacing w:after="80" w:line="280"/>
      </w:pPr>
      <w:r>
        <w:rPr>
          <w:rFonts w:ascii="Arial" w:cs="Arial" w:eastAsia="Arial" w:hAnsi="Arial"/>
          <w:color w:val="1F2937"/>
          <w:sz w:val="22"/>
          <w:szCs w:val="22"/>
        </w:rPr>
        <w:t xml:space="preserve">Approvals use Status Reason plus Approver, Submitted On, Decided On, and Decision Comment—not free-text conventions.</w:t>
      </w:r>
    </w:p>
    <w:p>
      <w:pPr>
        <w:pStyle w:val="ListParagraph"/>
        <w:numPr>
          <w:ilvl w:val="0"/>
          <w:numId w:val="2"/>
        </w:numPr>
        <w:spacing w:after="80" w:line="280"/>
      </w:pPr>
      <w:r>
        <w:rPr>
          <w:rFonts w:ascii="Arial" w:cs="Arial" w:eastAsia="Arial" w:hAnsi="Arial"/>
          <w:color w:val="1F2937"/>
          <w:sz w:val="22"/>
          <w:szCs w:val="22"/>
        </w:rPr>
        <w:t xml:space="preserve">Money values use Dataverse currency behavior. Receipt files belong on Expense Lines.</w:t>
      </w:r>
    </w:p>
    <w:p>
      <w:r>
        <w:br w:type="page"/>
      </w:r>
    </w:p>
    <w:p>
      <w:pPr>
        <w:pStyle w:val="Heading1"/>
      </w:pPr>
      <w:r>
        <w:rPr>
          <w:rFonts w:ascii="Arial" w:cs="Arial" w:eastAsia="Arial" w:hAnsi="Arial"/>
          <w:b/>
          <w:bCs/>
          <w:color w:val="1F2937"/>
          <w:sz w:val="22"/>
          <w:szCs w:val="22"/>
        </w:rPr>
        <w:t xml:space="preserve">Entity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920"/>
        <w:gridCol w:w="2840"/>
      </w:tblGrid>
      <w:tr>
        <w:trPr>
          <w:tblHeader/>
        </w:trPr>
        <w:tc>
          <w:tcPr>
            <w:tcW w:type="dxa" w:w="19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Entity</w:t>
            </w:r>
          </w:p>
        </w:tc>
        <w:tc>
          <w:tcPr>
            <w:tcW w:type="dxa" w:w="17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Type / ownership</w:t>
            </w:r>
          </w:p>
        </w:tc>
        <w:tc>
          <w:tcPr>
            <w:tcW w:type="dxa" w:w="292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Purpose</w:t>
            </w:r>
          </w:p>
        </w:tc>
        <w:tc>
          <w:tcPr>
            <w:tcW w:type="dxa" w:w="284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How it is used</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 (systemuser)</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OOB, augmented</w:t>
            </w:r>
          </w:p>
        </w:tc>
        <w:tc>
          <w:tcPr>
            <w:tcW w:type="dxa" w:w="292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Worker identity and organizational assignment. Stores Employee ID, name, email, phone, Manager, Position, Department, Hire Date, Employment Type, and enabled state.</w:t>
            </w:r>
          </w:p>
        </w:tc>
        <w:tc>
          <w:tcPr>
            <w:tcW w:type="dxa" w:w="284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Referenced by personal HR records; synchronized identity remains governed by Entra ID/Dataverse user administration.</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Position (position)</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OOB</w:t>
            </w:r>
          </w:p>
        </w:tc>
        <w:tc>
          <w:tcPr>
            <w:tcW w:type="dxa" w:w="292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Defines an organizational role and optional parent Position.</w:t>
            </w:r>
          </w:p>
        </w:tc>
        <w:tc>
          <w:tcPr>
            <w:tcW w:type="dxa" w:w="284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Assigned to Employees; supports position hierarchy reporting.</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Department (businessunit)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OOB</w:t>
            </w:r>
          </w:p>
        </w:tc>
        <w:tc>
          <w:tcPr>
            <w:tcW w:type="dxa" w:w="292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Defines organizational units, hierarchy, cost center, and division.</w:t>
            </w:r>
          </w:p>
        </w:tc>
        <w:tc>
          <w:tcPr>
            <w:tcW w:type="dxa" w:w="284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Assigned to Employees and used by Dataverse security/ownership.</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Type (maftagsc_timeofftype)</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organization-owned</w:t>
            </w:r>
          </w:p>
        </w:tc>
        <w:tc>
          <w:tcPr>
            <w:tcW w:type="dxa" w:w="292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Defines a leave category, code, default annual hours, and whether approval is required.</w:t>
            </w:r>
          </w:p>
        </w:tc>
        <w:tc>
          <w:tcPr>
            <w:tcW w:type="dxa" w:w="284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Reference data used by balances and requests.</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Balance (maftagsc_timeoffbalance)</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user-owned</w:t>
            </w:r>
          </w:p>
        </w:tc>
        <w:tc>
          <w:tcPr>
            <w:tcW w:type="dxa" w:w="292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Tracks allocated, pending, and used hours for one Employee, Time Off Type, and calendar year.</w:t>
            </w:r>
          </w:p>
        </w:tc>
        <w:tc>
          <w:tcPr>
            <w:tcW w:type="dxa" w:w="284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Maintained by HR and planned automation as requests move through approval.</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 (maftagsc_timeoffrequest)</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user-owned</w:t>
            </w:r>
          </w:p>
        </w:tc>
        <w:tc>
          <w:tcPr>
            <w:tcW w:type="dxa" w:w="292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Captures requested dates/hours, reason, Employee, Time Off Type, Approver, and decision audit details.</w:t>
            </w:r>
          </w:p>
        </w:tc>
        <w:tc>
          <w:tcPr>
            <w:tcW w:type="dxa" w:w="284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Submitted by an Employee and normally decided by the Employee’s Manager.</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 (maftagsc_expensereport)</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user-owned</w:t>
            </w:r>
          </w:p>
        </w:tc>
        <w:tc>
          <w:tcPr>
            <w:tcW w:type="dxa" w:w="292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Groups reimbursement lines under a business purpose, report date, Employee, total, Approver, and approval status.</w:t>
            </w:r>
          </w:p>
        </w:tc>
        <w:tc>
          <w:tcPr>
            <w:tcW w:type="dxa" w:w="284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Submitted as one approval package; total should equal approved line amounts.</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Line (maftagsc_expenseline)</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user-owned</w:t>
            </w:r>
          </w:p>
        </w:tc>
        <w:tc>
          <w:tcPr>
            <w:tcW w:type="dxa" w:w="292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Captures one dated merchant transaction, category, amount, description, and one receipt file.</w:t>
            </w:r>
          </w:p>
        </w:tc>
        <w:tc>
          <w:tcPr>
            <w:tcW w:type="dxa" w:w="284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Must belong to one Expense Report.</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Plan (maftagsc_benefitplan)</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organization-owned</w:t>
            </w:r>
          </w:p>
        </w:tc>
        <w:tc>
          <w:tcPr>
            <w:tcW w:type="dxa" w:w="292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Defines plan code, provider, category, coverage availability, and employee/employer cost.</w:t>
            </w:r>
          </w:p>
        </w:tc>
        <w:tc>
          <w:tcPr>
            <w:tcW w:type="dxa" w:w="284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Reference data selected by Benefit Enrollments.</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Enrollment (maftagsc_benefitenrollment)</w:t>
            </w:r>
          </w:p>
        </w:tc>
        <w:tc>
          <w:tcPr>
            <w:tcW w:type="dxa" w:w="1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Custom, user-owned</w:t>
            </w:r>
          </w:p>
        </w:tc>
        <w:tc>
          <w:tcPr>
            <w:tcW w:type="dxa" w:w="292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Records an Employee’s selected plan, coverage level/dates, election date, and employee contribution.</w:t>
            </w:r>
          </w:p>
        </w:tc>
        <w:tc>
          <w:tcPr>
            <w:tcW w:type="dxa" w:w="284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No approval is required in the approved base process.</w:t>
            </w:r>
          </w:p>
        </w:tc>
      </w:tr>
    </w:tbl>
    <w:p>
      <w:pPr>
        <w:pStyle w:val="Heading1"/>
      </w:pPr>
      <w:r>
        <w:rPr>
          <w:rFonts w:ascii="Arial" w:cs="Arial" w:eastAsia="Arial" w:hAnsi="Arial"/>
          <w:b/>
          <w:bCs/>
          <w:color w:val="1F2937"/>
          <w:sz w:val="22"/>
          <w:szCs w:val="22"/>
        </w:rPr>
        <w:t xml:space="preserve">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Parent / reference</w:t>
            </w:r>
          </w:p>
        </w:tc>
        <w:tc>
          <w:tcPr>
            <w:tcW w:type="dxa" w:w="27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Child / transaction</w:t>
            </w:r>
          </w:p>
        </w:tc>
        <w:tc>
          <w:tcPr>
            <w:tcW w:type="dxa" w:w="396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Cardinality and rule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Balance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Employee can have many balances; each balance requires exactly one Employee.</w:t>
            </w:r>
          </w:p>
        </w:tc>
      </w:tr>
      <w:tr>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Type</w:t>
            </w:r>
          </w:p>
        </w:tc>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Balance</w:t>
            </w:r>
          </w:p>
        </w:tc>
        <w:tc>
          <w:tcPr>
            <w:tcW w:type="dxa" w:w="39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Type can have many balances; each balance requires exactly one Type.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Employee can have many requests; each request requires one Employee.</w:t>
            </w:r>
          </w:p>
        </w:tc>
      </w:tr>
      <w:tr>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Type</w:t>
            </w:r>
          </w:p>
        </w:tc>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w:t>
            </w:r>
          </w:p>
        </w:tc>
        <w:tc>
          <w:tcPr>
            <w:tcW w:type="dxa" w:w="39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Type can have many requests; each request requires one Type.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 (Approver)</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Optional while Draft; populated for submitted requests when approval is required.</w:t>
            </w:r>
          </w:p>
        </w:tc>
      </w:tr>
      <w:tr>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w:t>
            </w:r>
          </w:p>
        </w:tc>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w:t>
            </w:r>
          </w:p>
        </w:tc>
        <w:tc>
          <w:tcPr>
            <w:tcW w:type="dxa" w:w="39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Employee can have many reports; each report requires one Employee.</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 (Approver)</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Optional while Draft; populated on submission.</w:t>
            </w:r>
          </w:p>
        </w:tc>
      </w:tr>
      <w:tr>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w:t>
            </w:r>
          </w:p>
        </w:tc>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Line</w:t>
            </w:r>
          </w:p>
        </w:tc>
        <w:tc>
          <w:tcPr>
            <w:tcW w:type="dxa" w:w="39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report contains one or more lines; every line requires a report.</w:t>
            </w:r>
          </w:p>
        </w:tc>
      </w:tr>
      <w:tr>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w:t>
            </w:r>
          </w:p>
        </w:tc>
        <w:tc>
          <w:tcPr>
            <w:tcW w:type="dxa" w:w="27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Enrollment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Employee can have many enrollments; each enrollment requires one Employee.</w:t>
            </w:r>
          </w:p>
        </w:tc>
      </w:tr>
      <w:tr>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Plan</w:t>
            </w:r>
          </w:p>
        </w:tc>
        <w:tc>
          <w:tcPr>
            <w:tcW w:type="dxa" w:w="27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Enrollment</w:t>
            </w:r>
          </w:p>
        </w:tc>
        <w:tc>
          <w:tcPr>
            <w:tcW w:type="dxa" w:w="39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Plan can have many enrollments; each enrollment requires one Plan.</w:t>
            </w:r>
          </w:p>
        </w:tc>
      </w:tr>
    </w:tbl>
    <w:p>
      <w:pPr>
        <w:pStyle w:val="Heading1"/>
      </w:pPr>
      <w:r>
        <w:rPr>
          <w:rFonts w:ascii="Arial" w:cs="Arial" w:eastAsia="Arial" w:hAnsi="Arial"/>
          <w:b/>
          <w:bCs/>
          <w:color w:val="1F2937"/>
          <w:sz w:val="22"/>
          <w:szCs w:val="22"/>
        </w:rPr>
        <w:t xml:space="preserve">Entity usage details</w:t>
      </w:r>
    </w:p>
    <w:p>
      <w:pPr>
        <w:pStyle w:val="Heading2"/>
      </w:pPr>
      <w:r>
        <w:rPr>
          <w:rFonts w:ascii="Arial" w:cs="Arial" w:eastAsia="Arial" w:hAnsi="Arial"/>
          <w:b/>
          <w:bCs/>
          <w:color w:val="1F2937"/>
          <w:sz w:val="22"/>
          <w:szCs w:val="22"/>
        </w:rPr>
        <w:t xml:space="preserve">Employee, Position, and Department</w:t>
      </w:r>
    </w:p>
    <w:p>
      <w:pPr>
        <w:spacing w:after="120" w:before="0" w:line="300"/>
      </w:pPr>
      <w:r>
        <w:rPr>
          <w:rFonts w:ascii="Arial" w:cs="Arial" w:eastAsia="Arial" w:hAnsi="Arial"/>
          <w:color w:val="1F2937"/>
          <w:sz w:val="22"/>
          <w:szCs w:val="22"/>
        </w:rPr>
        <w:t xml:space="preserve">These are standard Dataverse entities. Employee is the person record used for HR transactions. Manager is the Employee referenced by the standard reporting relationship. Position is a reusable role; Department is a Business Unit and also participates in platform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DE7E9" w:val="clear"/>
            <w:tcMar>
              <w:top w:type="dxa" w:w="100"/>
              <w:left w:type="dxa" w:w="120"/>
              <w:bottom w:type="dxa" w:w="100"/>
              <w:right w:type="dxa" w:w="120"/>
            </w:tcMar>
            <w:vAlign w:val="center"/>
          </w:tcPr>
          <w:p>
            <w:pPr>
              <w:spacing w:after="60" w:before="0" w:line="300"/>
            </w:pPr>
            <w:r>
              <w:rPr>
                <w:rFonts w:ascii="Arial" w:cs="Arial" w:eastAsia="Arial" w:hAnsi="Arial"/>
                <w:b/>
                <w:bCs/>
                <w:color w:val="17365D"/>
                <w:sz w:val="22"/>
                <w:szCs w:val="22"/>
              </w:rPr>
              <w:t xml:space="preserve">Do not duplicate</w:t>
            </w:r>
          </w:p>
          <w:p>
            <w:pPr>
              <w:spacing w:after="0" w:before="0" w:line="300"/>
            </w:pPr>
            <w:r>
              <w:rPr>
                <w:rFonts w:ascii="Arial" w:cs="Arial" w:eastAsia="Arial" w:hAnsi="Arial"/>
                <w:color w:val="1F2937"/>
                <w:sz w:val="22"/>
                <w:szCs w:val="22"/>
              </w:rPr>
              <w:t xml:space="preserve">Do not create a second Employee, Position, Department, Manager, owner, currency, or lifecycle entity. Correct the authoritative OOB record or relationship.</w:t>
            </w:r>
          </w:p>
        </w:tc>
      </w:tr>
    </w:tbl>
    <w:p>
      <w:pPr>
        <w:pStyle w:val="Heading2"/>
      </w:pPr>
      <w:r>
        <w:rPr>
          <w:rFonts w:ascii="Arial" w:cs="Arial" w:eastAsia="Arial" w:hAnsi="Arial"/>
          <w:b/>
          <w:bCs/>
          <w:color w:val="1F2937"/>
          <w:sz w:val="22"/>
          <w:szCs w:val="22"/>
        </w:rPr>
        <w:t xml:space="preserve">Time Off entities</w:t>
      </w:r>
    </w:p>
    <w:p>
      <w:pPr>
        <w:spacing w:after="120" w:before="0" w:line="300"/>
      </w:pPr>
      <w:r>
        <w:rPr>
          <w:rFonts w:ascii="Arial" w:cs="Arial" w:eastAsia="Arial" w:hAnsi="Arial"/>
          <w:color w:val="1F2937"/>
          <w:sz w:val="22"/>
          <w:szCs w:val="22"/>
        </w:rPr>
        <w:t xml:space="preserve">Time Off Type is reference data. Time Off Balance is an annual balance snapshot by Employee and Type. Time Off Request is the workflow transaction. Balance records should not be used as requests, and requests should not be used as balances.</w:t>
      </w:r>
    </w:p>
    <w:p>
      <w:pPr>
        <w:pStyle w:val="Heading2"/>
      </w:pPr>
      <w:r>
        <w:rPr>
          <w:rFonts w:ascii="Arial" w:cs="Arial" w:eastAsia="Arial" w:hAnsi="Arial"/>
          <w:b/>
          <w:bCs/>
          <w:color w:val="1F2937"/>
          <w:sz w:val="22"/>
          <w:szCs w:val="22"/>
        </w:rPr>
        <w:t xml:space="preserve">Expense entities</w:t>
      </w:r>
    </w:p>
    <w:p>
      <w:pPr>
        <w:spacing w:after="120" w:before="0" w:line="300"/>
      </w:pPr>
      <w:r>
        <w:rPr>
          <w:rFonts w:ascii="Arial" w:cs="Arial" w:eastAsia="Arial" w:hAnsi="Arial"/>
          <w:color w:val="1F2937"/>
          <w:sz w:val="22"/>
          <w:szCs w:val="22"/>
        </w:rPr>
        <w:t xml:space="preserve">Expense Report is the approval header. Expense Line is the itemized transaction and receipt location. A report total is meaningful only when all lines are complete and valid.</w:t>
      </w:r>
    </w:p>
    <w:p>
      <w:pPr>
        <w:pStyle w:val="Heading2"/>
      </w:pPr>
      <w:r>
        <w:rPr>
          <w:rFonts w:ascii="Arial" w:cs="Arial" w:eastAsia="Arial" w:hAnsi="Arial"/>
          <w:b/>
          <w:bCs/>
          <w:color w:val="1F2937"/>
          <w:sz w:val="22"/>
          <w:szCs w:val="22"/>
        </w:rPr>
        <w:t xml:space="preserve">Benefits entities</w:t>
      </w:r>
    </w:p>
    <w:p>
      <w:pPr>
        <w:spacing w:after="120" w:before="0" w:line="300"/>
      </w:pPr>
      <w:r>
        <w:rPr>
          <w:rFonts w:ascii="Arial" w:cs="Arial" w:eastAsia="Arial" w:hAnsi="Arial"/>
          <w:color w:val="1F2937"/>
          <w:sz w:val="22"/>
          <w:szCs w:val="22"/>
        </w:rPr>
        <w:t xml:space="preserve">Benefit Plan defines what the organization offers. Benefit Enrollment records what an Employee selected. Editing a Plan does not automatically rewrite historical Enrollments; effective dates preserve meaning over time.</w:t>
      </w:r>
    </w:p>
    <w:p>
      <w:pPr>
        <w:pStyle w:val="Heading1"/>
      </w:pPr>
      <w:r>
        <w:rPr>
          <w:rFonts w:ascii="Arial" w:cs="Arial" w:eastAsia="Arial" w:hAnsi="Arial"/>
          <w:b/>
          <w:bCs/>
          <w:color w:val="1F2937"/>
          <w:sz w:val="22"/>
          <w:szCs w:val="22"/>
        </w:rPr>
        <w:t xml:space="preserve">Lifecycle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Status Reason</w:t>
            </w:r>
          </w:p>
        </w:tc>
        <w:tc>
          <w:tcPr>
            <w:tcW w:type="dxa" w:w="43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Meaning</w:t>
            </w:r>
          </w:p>
        </w:tc>
        <w:tc>
          <w:tcPr>
            <w:tcW w:type="dxa" w:w="316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Permitted next status</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 Draft</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Employee or HR is preparing the request.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Submitted or Cancelled</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Time Off Request: Submitted</w:t>
            </w:r>
          </w:p>
        </w:tc>
        <w:tc>
          <w:tcPr>
            <w:tcW w:type="dxa" w:w="43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Request is awaiting decision.</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Approved, Rejected, or Cancelled</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 Draft</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Header and lines are being assembled.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Submitted or Cancelled</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 Submitted</w:t>
            </w:r>
          </w:p>
        </w:tc>
        <w:tc>
          <w:tcPr>
            <w:tcW w:type="dxa" w:w="43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Report is locked for manager review.</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Approved, Rejected, or Cancelled</w:t>
            </w:r>
          </w:p>
        </w:tc>
      </w:tr>
      <w:tr>
        <w:tc>
          <w:tcPr>
            <w:tcW w:type="dxa" w:w="19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Expense Report: Approved</w:t>
            </w:r>
          </w:p>
        </w:tc>
        <w:tc>
          <w:tcPr>
            <w:tcW w:type="dxa" w:w="4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Manager approved reimbursement.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Paid</w:t>
            </w:r>
          </w:p>
        </w:tc>
      </w:tr>
      <w:tr>
        <w:tc>
          <w:tcPr>
            <w:tcW w:type="dxa" w:w="19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Benefit Enrollment: Active</w:t>
            </w:r>
          </w:p>
        </w:tc>
        <w:tc>
          <w:tcPr>
            <w:tcW w:type="dxa" w:w="43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Coverage is current or scheduled.</w:t>
            </w:r>
          </w:p>
        </w:tc>
        <w:tc>
          <w:tcPr>
            <w:tcW w:type="dxa" w:w="31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Waived or Ended</w:t>
            </w:r>
          </w:p>
        </w:tc>
      </w:tr>
    </w:tbl>
    <w:p>
      <w:pPr>
        <w:pStyle w:val="Heading1"/>
      </w:pPr>
      <w:r>
        <w:rPr>
          <w:rFonts w:ascii="Arial" w:cs="Arial" w:eastAsia="Arial" w:hAnsi="Arial"/>
          <w:b/>
          <w:bCs/>
          <w:color w:val="1F2937"/>
          <w:sz w:val="22"/>
          <w:szCs w:val="22"/>
        </w:rPr>
        <w:t xml:space="preserve">Data quality and audit expectations</w:t>
      </w:r>
    </w:p>
    <w:p>
      <w:pPr>
        <w:pStyle w:val="ListParagraph"/>
        <w:numPr>
          <w:ilvl w:val="0"/>
          <w:numId w:val="2"/>
        </w:numPr>
        <w:spacing w:after="80" w:line="280"/>
      </w:pPr>
      <w:r>
        <w:rPr>
          <w:rFonts w:ascii="Arial" w:cs="Arial" w:eastAsia="Arial" w:hAnsi="Arial"/>
          <w:color w:val="1F2937"/>
          <w:sz w:val="22"/>
          <w:szCs w:val="22"/>
        </w:rPr>
        <w:t xml:space="preserve">Use stable codes for Time Off Types and Benefit Plans.</w:t>
      </w:r>
    </w:p>
    <w:p>
      <w:pPr>
        <w:pStyle w:val="ListParagraph"/>
        <w:numPr>
          <w:ilvl w:val="0"/>
          <w:numId w:val="2"/>
        </w:numPr>
        <w:spacing w:after="80" w:line="280"/>
      </w:pPr>
      <w:r>
        <w:rPr>
          <w:rFonts w:ascii="Arial" w:cs="Arial" w:eastAsia="Arial" w:hAnsi="Arial"/>
          <w:color w:val="1F2937"/>
          <w:sz w:val="22"/>
          <w:szCs w:val="22"/>
        </w:rPr>
        <w:t xml:space="preserve">Use Employee lookups—not names typed into notes—to identify people.</w:t>
      </w:r>
    </w:p>
    <w:p>
      <w:pPr>
        <w:pStyle w:val="ListParagraph"/>
        <w:numPr>
          <w:ilvl w:val="0"/>
          <w:numId w:val="2"/>
        </w:numPr>
        <w:spacing w:after="80" w:line="280"/>
      </w:pPr>
      <w:r>
        <w:rPr>
          <w:rFonts w:ascii="Arial" w:cs="Arial" w:eastAsia="Arial" w:hAnsi="Arial"/>
          <w:color w:val="1F2937"/>
          <w:sz w:val="22"/>
          <w:szCs w:val="22"/>
        </w:rPr>
        <w:t xml:space="preserve">Record dates in the field intended for the business event; Created On is not a substitute for Submitted On or Elected On.</w:t>
      </w:r>
    </w:p>
    <w:p>
      <w:pPr>
        <w:pStyle w:val="ListParagraph"/>
        <w:numPr>
          <w:ilvl w:val="0"/>
          <w:numId w:val="2"/>
        </w:numPr>
        <w:spacing w:after="80" w:line="280"/>
      </w:pPr>
      <w:r>
        <w:rPr>
          <w:rFonts w:ascii="Arial" w:cs="Arial" w:eastAsia="Arial" w:hAnsi="Arial"/>
          <w:color w:val="1F2937"/>
          <w:sz w:val="22"/>
          <w:szCs w:val="22"/>
        </w:rPr>
        <w:t xml:space="preserve">Do not overwrite a decided request/report to recycle it. Create a new transaction or use the documented cancellation path.</w:t>
      </w:r>
    </w:p>
    <w:p>
      <w:pPr>
        <w:pStyle w:val="ListParagraph"/>
        <w:numPr>
          <w:ilvl w:val="0"/>
          <w:numId w:val="2"/>
        </w:numPr>
        <w:spacing w:after="80" w:line="280"/>
      </w:pPr>
      <w:r>
        <w:rPr>
          <w:rFonts w:ascii="Arial" w:cs="Arial" w:eastAsia="Arial" w:hAnsi="Arial"/>
          <w:color w:val="1F2937"/>
          <w:sz w:val="22"/>
          <w:szCs w:val="22"/>
        </w:rPr>
        <w:t xml:space="preserve">Decision comments should explain exceptions and rejections without including unnecessary personal details.</w:t>
      </w:r>
    </w:p>
    <w:p>
      <w:pPr>
        <w:pStyle w:val="ListParagraph"/>
        <w:numPr>
          <w:ilvl w:val="0"/>
          <w:numId w:val="2"/>
        </w:numPr>
        <w:spacing w:after="80" w:line="280"/>
      </w:pPr>
      <w:r>
        <w:rPr>
          <w:rFonts w:ascii="Arial" w:cs="Arial" w:eastAsia="Arial" w:hAnsi="Arial"/>
          <w:color w:val="1F2937"/>
          <w:sz w:val="22"/>
          <w:szCs w:val="22"/>
        </w:rPr>
        <w:t xml:space="preserve">Retain receipts according to organizational policy; never upload payment-card numbers or unrelated files.</w:t>
      </w:r>
    </w:p>
    <w:p>
      <w:pPr>
        <w:pStyle w:val="Heading1"/>
      </w:pPr>
      <w:r>
        <w:rPr>
          <w:rFonts w:ascii="Arial" w:cs="Arial" w:eastAsia="Arial" w:hAnsi="Arial"/>
          <w:b/>
          <w:bCs/>
          <w:color w:val="1F2937"/>
          <w:sz w:val="22"/>
          <w:szCs w:val="22"/>
        </w:rPr>
        <w:t xml:space="preserve">Rich cross-process example</w:t>
      </w:r>
    </w:p>
    <w:p>
      <w:pPr>
        <w:spacing w:after="120" w:before="0" w:line="300"/>
      </w:pPr>
      <w:r>
        <w:rPr>
          <w:rFonts w:ascii="Arial" w:cs="Arial" w:eastAsia="Arial" w:hAnsi="Arial"/>
          <w:color w:val="1F2937"/>
          <w:sz w:val="22"/>
          <w:szCs w:val="22"/>
        </w:rPr>
        <w:t xml:space="preserve">Avery Chen is an active full-time Employee in the Product Department, assigned to the Senior Designer Position, and reports to Morgan Lee. Avery has an annual Vacation balance, submits a three-day Time Off Request, files an Expense Report after a customer workshop, and elects a Medical Benefit Plan. Each transaction references Avery’s single Employee record; manager routing derives from the Manager relationship; Department and Position are not copied into every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Business event</w:t>
            </w:r>
          </w:p>
        </w:tc>
        <w:tc>
          <w:tcPr>
            <w:tcW w:type="dxa" w:w="330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Correct record(s)</w:t>
            </w:r>
          </w:p>
        </w:tc>
        <w:tc>
          <w:tcPr>
            <w:tcW w:type="dxa" w:w="3660"/>
            <w:tcBorders>
              <w:top w:val="single" w:color="CBD5E1" w:sz="1"/>
              <w:left w:val="single" w:color="CBD5E1" w:sz="1"/>
              <w:bottom w:val="single" w:color="CBD5E1" w:sz="1"/>
              <w:right w:val="single" w:color="CBD5E1" w:sz="1"/>
            </w:tcBorders>
            <w:shd w:fill="17365D" w:val="clear"/>
            <w:tcMar>
              <w:top w:type="dxa" w:w="100"/>
              <w:left w:type="dxa" w:w="120"/>
              <w:bottom w:type="dxa" w:w="100"/>
              <w:right w:type="dxa" w:w="120"/>
            </w:tcMar>
            <w:vAlign w:val="center"/>
          </w:tcPr>
          <w:p>
            <w:pPr>
              <w:spacing w:after="0" w:before="0" w:line="300"/>
            </w:pPr>
            <w:r>
              <w:rPr>
                <w:rFonts w:ascii="Arial" w:cs="Arial" w:eastAsia="Arial" w:hAnsi="Arial"/>
                <w:b/>
                <w:bCs/>
                <w:color w:val="FFFFFF"/>
                <w:sz w:val="22"/>
                <w:szCs w:val="22"/>
              </w:rPr>
              <w:t xml:space="preserve">Key result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Annual vacation setup</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Time Off Balance for Avery + Vacation + 2026</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Allocated, pending, and used hours remain traceable.</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Vacation request</w:t>
            </w:r>
          </w:p>
        </w:tc>
        <w:tc>
          <w:tcPr>
            <w:tcW w:type="dxa" w:w="33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Time Off Request</w:t>
            </w:r>
          </w:p>
        </w:tc>
        <w:tc>
          <w:tcPr>
            <w:tcW w:type="dxa" w:w="36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Approval and decision history are independent of the balance snapshot.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Workshop reimbursement</w:t>
            </w:r>
          </w:p>
        </w:tc>
        <w:tc>
          <w:tcPr>
            <w:tcW w:type="dxa" w:w="33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Expense Report + three Expense Lines</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manager decision covers itemized transactions and receipts.</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Medical election</w:t>
            </w:r>
          </w:p>
        </w:tc>
        <w:tc>
          <w:tcPr>
            <w:tcW w:type="dxa" w:w="330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One Benefit Enrollment linked to the active Medical Plan</w:t>
            </w:r>
          </w:p>
        </w:tc>
        <w:tc>
          <w:tcPr>
            <w:tcW w:type="dxa" w:w="3660"/>
            <w:tcBorders>
              <w:top w:val="single" w:color="CBD5E1" w:sz="1"/>
              <w:left w:val="single" w:color="CBD5E1" w:sz="1"/>
              <w:bottom w:val="single" w:color="CBD5E1" w:sz="1"/>
              <w:right w:val="single" w:color="CBD5E1" w:sz="1"/>
            </w:tcBorders>
            <w:shd w:fill="F3F4F6" w:val="clear"/>
            <w:tcMar>
              <w:top w:type="dxa" w:w="100"/>
              <w:left w:type="dxa" w:w="120"/>
              <w:bottom w:type="dxa" w:w="100"/>
              <w:right w:type="dxa" w:w="120"/>
            </w:tcMar>
            <w:vAlign w:val="center"/>
          </w:tcPr>
          <w:p>
            <w:pPr>
              <w:spacing w:after="0" w:before="0" w:line="300"/>
            </w:pPr>
            <w:r>
              <w:rPr>
                <w:rFonts w:ascii="Arial" w:cs="Arial" w:eastAsia="Arial" w:hAnsi="Arial"/>
                <w:color w:val="1F2937"/>
                <w:sz w:val="22"/>
                <w:szCs w:val="22"/>
              </w:rPr>
              <w:t xml:space="preserve">Coverage dates and contribution reflect Avery’s election.</w:t>
            </w:r>
          </w:p>
        </w:tc>
      </w:tr>
    </w:tbl>
    <w:p>
      <w:pPr>
        <w:pStyle w:val="Heading1"/>
      </w:pPr>
      <w:r>
        <w:rPr>
          <w:rFonts w:ascii="Arial" w:cs="Arial" w:eastAsia="Arial" w:hAnsi="Arial"/>
          <w:b/>
          <w:bCs/>
          <w:color w:val="1F2937"/>
          <w:sz w:val="22"/>
          <w:szCs w:val="22"/>
        </w:rPr>
        <w:t xml:space="preserve">Support and escalation</w:t>
      </w:r>
    </w:p>
    <w:p>
      <w:pPr>
        <w:spacing w:after="120" w:before="0" w:line="300"/>
      </w:pPr>
      <w:r>
        <w:rPr>
          <w:rFonts w:ascii="Arial" w:cs="Arial" w:eastAsia="Arial" w:hAnsi="Arial"/>
          <w:color w:val="1F2937"/>
          <w:sz w:val="22"/>
          <w:szCs w:val="22"/>
        </w:rPr>
        <w:t xml:space="preserve">When data appears inconsistent, capture the record URL, entity name, record ID, current Status Reason, and a concise description. Do not copy sensitive field contents into email or chat. Escalate security concerns immediately to the Power Platform/HR data owner.</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00"/>
      </w:tabs>
    </w:pPr>
    <w:r>
      <w:rPr>
        <w:rFonts w:ascii="Arial" w:cs="Arial" w:eastAsia="Arial" w:hAnsi="Arial"/>
        <w:color w:val="5B6573"/>
        <w:sz w:val="18"/>
        <w:szCs w:val="18"/>
      </w:rPr>
      <w:t xml:space="preserve">HR Agent Sidecar  |  Internal user guide</w:t>
    </w:r>
    <w:r>
      <w:rPr>
        <w:rFonts w:ascii="Arial" w:cs="Arial" w:eastAsia="Arial" w:hAnsi="Arial"/>
        <w:color w:val="5B6573"/>
        <w:sz w:val="18"/>
        <w:szCs w:val="18"/>
      </w:rPr>
      <w:t xml:space="preserve">	Page </w:t>
    </w:r>
    <w:r>
      <w:rPr>
        <w:rFonts w:ascii="Arial" w:cs="Arial" w:eastAsia="Arial" w:hAnsi="Arial"/>
        <w:color w:val="5B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60" w:hanging="360"/>
      </w:pPr>
    </w:lvl>
  </w:abstractNum>
  <w:abstractNum w:abstractNumId="4" w15:restartNumberingAfterBreak="0">
    <w:multiLevelType w:val="hybridMultilevel"/>
    <w:lvl w:ilvl="0" w15:tentative="1">
      <w:start w:val="1"/>
      <w:numFmt w:val="decimal"/>
      <w:lvlText w:val="%1."/>
      <w:lvlJc w:val="left"/>
      <w:pPr>
        <w:ind w:left="660" w:hanging="360"/>
      </w:pPr>
    </w:lvl>
  </w:abstractNum>
  <w:abstractNum w:abstractNumId="5" w15:restartNumberingAfterBreak="0">
    <w:multiLevelType w:val="hybridMultilevel"/>
    <w:lvl w:ilvl="0" w15:tentative="1">
      <w:start w:val="1"/>
      <w:numFmt w:val="decimal"/>
      <w:lvlText w:val="%1."/>
      <w:lvlJc w:val="left"/>
      <w:pPr>
        <w:ind w:left="6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F6CBD" w:sz="8" w:space="6"/>
      </w:pBdr>
      <w:spacing w:before="280" w:after="160"/>
      <w:outlineLvl w:val="0"/>
    </w:pPr>
    <w:rPr>
      <w:rFonts w:ascii="Arial" w:cs="Arial" w:eastAsia="Arial" w:hAnsi="Arial"/>
      <w:b/>
      <w:bCs/>
      <w:color w:val="17365D"/>
      <w:sz w:val="32"/>
      <w:szCs w:val="32"/>
    </w:rPr>
  </w:style>
  <w:style w:type="paragraph" w:styleId="Heading2">
    <w:name w:val="Heading 2"/>
    <w:basedOn w:val="Normal"/>
    <w:next w:val="Normal"/>
    <w:qFormat/>
    <w:pPr>
      <w:spacing w:before="220" w:after="120"/>
      <w:outlineLvl w:val="1"/>
    </w:pPr>
    <w:rPr>
      <w:rFonts w:ascii="Arial" w:cs="Arial" w:eastAsia="Arial" w:hAnsi="Arial"/>
      <w:b/>
      <w:bCs/>
      <w:color w:val="0F6CBD"/>
      <w:sz w:val="27"/>
      <w:szCs w:val="27"/>
    </w:rPr>
  </w:style>
  <w:style w:type="paragraph" w:styleId="Heading3">
    <w:name w:val="Heading 3"/>
    <w:basedOn w:val="Normal"/>
    <w:next w:val="Normal"/>
    <w:qFormat/>
    <w:pPr>
      <w:spacing w:before="180" w:after="100"/>
      <w:outlineLvl w:val="2"/>
    </w:pPr>
    <w:rPr>
      <w:rFonts w:ascii="Arial" w:cs="Arial" w:eastAsia="Arial" w:hAnsi="Arial"/>
      <w:b/>
      <w:bCs/>
      <w:color w:val="17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Agent Sidecar Solution and Entity Guide</dc:title>
  <dc:subject>HR Agent Sidecar user documentation</dc:subject>
  <dc:creator>HR Agent Sidecar project team</dc:creator>
  <dc:description>HR Agent Sidecar Solution and Entity Guide</dc:description>
  <cp:lastModifiedBy>Un-named</cp:lastModifiedBy>
  <cp:revision>1</cp:revision>
  <dcterms:created xsi:type="dcterms:W3CDTF">2026-07-09T22:25:41.399Z</dcterms:created>
  <dcterms:modified xsi:type="dcterms:W3CDTF">2026-07-09T22:25:41.406Z</dcterms:modified>
</cp:coreProperties>
</file>

<file path=docProps/custom.xml><?xml version="1.0" encoding="utf-8"?>
<Properties xmlns="http://schemas.openxmlformats.org/officeDocument/2006/custom-properties" xmlns:vt="http://schemas.openxmlformats.org/officeDocument/2006/docPropsVTypes"/>
</file>