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8A58" w14:textId="77777777" w:rsidR="00614C12" w:rsidRPr="00614C12" w:rsidRDefault="00614C12" w:rsidP="00614C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1. Анализ предметной области: рынок онлайн-доставки пиццы в РФ</w:t>
      </w:r>
    </w:p>
    <w:p w14:paraId="71FD1A46" w14:textId="77777777" w:rsidR="00614C12" w:rsidRPr="00614C12" w:rsidRDefault="00614C12" w:rsidP="00614C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1.1. Общие тенденции и динамика рынка</w:t>
      </w:r>
    </w:p>
    <w:p w14:paraId="15E5D423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Анализ предметной области онлайн-торговли в сфере общественного питания и доставки готовых блюд демонстрирует устойчивый рост проникновения цифровых каналов продаж. По данным аналитических отчетов (Data Insight,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TAdviser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, РБК, 2023–2025 гг.), объем рынка онлайн-доставки еды в России превысил 350 млрд руб., при этом сегмент пиццерий сохраняет долю 18–22% от общего объема заказов готовых блюд.</w:t>
      </w:r>
    </w:p>
    <w:p w14:paraId="2D07FAFD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Ключевыми драйверами роста выступают:</w:t>
      </w:r>
    </w:p>
    <w:p w14:paraId="26347F33" w14:textId="77777777" w:rsidR="00614C12" w:rsidRPr="00614C12" w:rsidRDefault="00614C12" w:rsidP="00614C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массовая цифровизация потребительских привычек;</w:t>
      </w:r>
    </w:p>
    <w:p w14:paraId="47007F59" w14:textId="77777777" w:rsidR="00614C12" w:rsidRPr="00614C12" w:rsidRDefault="00614C12" w:rsidP="00614C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развитие мобильных приложений и PWA-решений;</w:t>
      </w:r>
    </w:p>
    <w:p w14:paraId="79225F88" w14:textId="77777777" w:rsidR="00614C12" w:rsidRPr="00614C12" w:rsidRDefault="00614C12" w:rsidP="00614C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внедрение программ лояльности и персональных предложений;</w:t>
      </w:r>
    </w:p>
    <w:p w14:paraId="36B7DB51" w14:textId="77777777" w:rsidR="00614C12" w:rsidRPr="00614C12" w:rsidRDefault="00614C12" w:rsidP="00614C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снижение издержек на логистику за счет оптимизации маршрутов и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kitchen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.</w:t>
      </w:r>
    </w:p>
    <w:p w14:paraId="46659674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В условиях высокой конкурентности и зрелости рынка ключевым фактором успеха становится не только привлечение новой аудитории, но и удержание существующих клиентов, что напрямую отражается на финансовых метриках продукта.</w:t>
      </w:r>
    </w:p>
    <w:p w14:paraId="4249CCC9" w14:textId="77777777" w:rsidR="00614C12" w:rsidRPr="00614C12" w:rsidRDefault="00614C12" w:rsidP="00614C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1.2. Ключевые продуктовые метрики и их роль в обосновании разработки</w:t>
      </w:r>
    </w:p>
    <w:p w14:paraId="24422366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Для оценки эффективности цифрового продукта в сфере онлайн-доставки пиццы используются следующие метрики: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822"/>
        <w:gridCol w:w="2201"/>
        <w:gridCol w:w="2342"/>
        <w:gridCol w:w="2980"/>
      </w:tblGrid>
      <w:tr w:rsidR="00614C12" w:rsidRPr="00614C12" w14:paraId="5CE18886" w14:textId="77777777" w:rsidTr="00614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4B482" w14:textId="77777777" w:rsidR="00614C12" w:rsidRPr="00614C12" w:rsidRDefault="00614C12" w:rsidP="00614C1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14:paraId="049D9867" w14:textId="77777777" w:rsidR="00614C12" w:rsidRPr="00614C12" w:rsidRDefault="00614C12" w:rsidP="00614C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Расшифровка</w:t>
            </w:r>
          </w:p>
        </w:tc>
        <w:tc>
          <w:tcPr>
            <w:tcW w:w="0" w:type="auto"/>
            <w:hideMark/>
          </w:tcPr>
          <w:p w14:paraId="2CEC4B3C" w14:textId="77777777" w:rsidR="00614C12" w:rsidRPr="00614C12" w:rsidRDefault="00614C12" w:rsidP="00614C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Формула расчета</w:t>
            </w:r>
          </w:p>
        </w:tc>
        <w:tc>
          <w:tcPr>
            <w:tcW w:w="0" w:type="auto"/>
            <w:hideMark/>
          </w:tcPr>
          <w:p w14:paraId="000F0FE6" w14:textId="77777777" w:rsidR="00614C12" w:rsidRPr="00614C12" w:rsidRDefault="00614C12" w:rsidP="00614C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Значение для бизнеса</w:t>
            </w:r>
          </w:p>
        </w:tc>
      </w:tr>
      <w:tr w:rsidR="00614C12" w:rsidRPr="00614C12" w14:paraId="2955252B" w14:textId="77777777" w:rsidTr="0061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F6FB2" w14:textId="77777777" w:rsidR="00614C12" w:rsidRPr="00614C12" w:rsidRDefault="00614C12" w:rsidP="00614C1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LTV (</w:t>
            </w:r>
            <w:proofErr w:type="spellStart"/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Lifetime</w:t>
            </w:r>
            <w:proofErr w:type="spellEnd"/>
            <w:r w:rsidRPr="00614C12">
              <w:rPr>
                <w:rFonts w:ascii="Times New Roman" w:hAnsi="Times New Roman" w:cs="Times New Roman"/>
                <w:sz w:val="28"/>
                <w:szCs w:val="28"/>
              </w:rPr>
              <w:t xml:space="preserve"> Value)</w:t>
            </w:r>
          </w:p>
        </w:tc>
        <w:tc>
          <w:tcPr>
            <w:tcW w:w="0" w:type="auto"/>
            <w:hideMark/>
          </w:tcPr>
          <w:p w14:paraId="43ACE02C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Пожизненная ценность клиента</w:t>
            </w:r>
          </w:p>
        </w:tc>
        <w:tc>
          <w:tcPr>
            <w:tcW w:w="0" w:type="auto"/>
            <w:hideMark/>
          </w:tcPr>
          <w:p w14:paraId="5A20D006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Средний чек × Частота заказов в мес. × Срок жизни клиента (мес.)</w:t>
            </w:r>
          </w:p>
        </w:tc>
        <w:tc>
          <w:tcPr>
            <w:tcW w:w="0" w:type="auto"/>
            <w:hideMark/>
          </w:tcPr>
          <w:p w14:paraId="37D9606E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Показывает, сколько выручки приносит один клиент за всё время взаимодействия</w:t>
            </w:r>
          </w:p>
        </w:tc>
      </w:tr>
      <w:tr w:rsidR="00614C12" w:rsidRPr="00614C12" w14:paraId="0A694A90" w14:textId="77777777" w:rsidTr="0061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FA7DB" w14:textId="77777777" w:rsidR="00614C12" w:rsidRPr="00614C12" w:rsidRDefault="00614C12" w:rsidP="00614C1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 xml:space="preserve">CAC (Customer </w:t>
            </w:r>
            <w:proofErr w:type="spellStart"/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Acquisition</w:t>
            </w:r>
            <w:proofErr w:type="spellEnd"/>
            <w:r w:rsidRPr="00614C12">
              <w:rPr>
                <w:rFonts w:ascii="Times New Roman" w:hAnsi="Times New Roman" w:cs="Times New Roman"/>
                <w:sz w:val="28"/>
                <w:szCs w:val="28"/>
              </w:rPr>
              <w:t xml:space="preserve"> Cost)</w:t>
            </w:r>
          </w:p>
        </w:tc>
        <w:tc>
          <w:tcPr>
            <w:tcW w:w="0" w:type="auto"/>
            <w:hideMark/>
          </w:tcPr>
          <w:p w14:paraId="3657501B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Стоимость привлечения клиента</w:t>
            </w:r>
          </w:p>
        </w:tc>
        <w:tc>
          <w:tcPr>
            <w:tcW w:w="0" w:type="auto"/>
            <w:hideMark/>
          </w:tcPr>
          <w:p w14:paraId="4EA8E397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Затраты на маркетинг за период / Количество новых клиентов за период</w:t>
            </w:r>
          </w:p>
        </w:tc>
        <w:tc>
          <w:tcPr>
            <w:tcW w:w="0" w:type="auto"/>
            <w:hideMark/>
          </w:tcPr>
          <w:p w14:paraId="402FF225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Отражает эффективность каналов привлечения и рекламного бюджета</w:t>
            </w:r>
          </w:p>
        </w:tc>
      </w:tr>
      <w:tr w:rsidR="00614C12" w:rsidRPr="00614C12" w14:paraId="30D8C38E" w14:textId="77777777" w:rsidTr="0061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E36FB" w14:textId="77777777" w:rsidR="00614C12" w:rsidRPr="00614C12" w:rsidRDefault="00614C12" w:rsidP="00614C1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RR (</w:t>
            </w:r>
            <w:proofErr w:type="spellStart"/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  <w:proofErr w:type="spellEnd"/>
            <w:r w:rsidRPr="00614C12">
              <w:rPr>
                <w:rFonts w:ascii="Times New Roman" w:hAnsi="Times New Roman" w:cs="Times New Roman"/>
                <w:sz w:val="28"/>
                <w:szCs w:val="28"/>
              </w:rPr>
              <w:t xml:space="preserve"> Rate)</w:t>
            </w:r>
          </w:p>
        </w:tc>
        <w:tc>
          <w:tcPr>
            <w:tcW w:w="0" w:type="auto"/>
            <w:hideMark/>
          </w:tcPr>
          <w:p w14:paraId="2D6FE54B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Коэффициент удержания клиентов</w:t>
            </w:r>
          </w:p>
        </w:tc>
        <w:tc>
          <w:tcPr>
            <w:tcW w:w="0" w:type="auto"/>
            <w:hideMark/>
          </w:tcPr>
          <w:p w14:paraId="38BC4B3C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(Клиенты в конце периода – Новые клиенты) / Клиенты в начале периода × 100%</w:t>
            </w:r>
          </w:p>
        </w:tc>
        <w:tc>
          <w:tcPr>
            <w:tcW w:w="0" w:type="auto"/>
            <w:hideMark/>
          </w:tcPr>
          <w:p w14:paraId="2A9F003C" w14:textId="77777777" w:rsidR="00614C12" w:rsidRPr="00614C12" w:rsidRDefault="00614C12" w:rsidP="00614C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14C12">
              <w:rPr>
                <w:rFonts w:ascii="Times New Roman" w:hAnsi="Times New Roman" w:cs="Times New Roman"/>
                <w:sz w:val="28"/>
                <w:szCs w:val="28"/>
              </w:rPr>
              <w:t>Характеризует лояльность и качество продукта/сервиса</w:t>
            </w:r>
          </w:p>
        </w:tc>
      </w:tr>
    </w:tbl>
    <w:p w14:paraId="06D2FC8D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Отношение LTV / CAC является индикатором устойчивости бизнес-модели. Значение ≥ 3 считается отраслевым стандартом для рентабельного роста. В сегменте доставки пиццы разработка собственного веб-сайта с интеграцией CRM, программы лояльности и аналитики заказов позволяет снизить CAC за счет прямых каналов и повысить LTV через персонализацию.</w:t>
      </w:r>
    </w:p>
    <w:p w14:paraId="672F5828" w14:textId="77777777" w:rsidR="00614C12" w:rsidRPr="00614C12" w:rsidRDefault="00614C12" w:rsidP="00614C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1.3. Средние значения метрик в сегменте доставки пиццы (РФ)</w:t>
      </w:r>
    </w:p>
    <w:p w14:paraId="1E55D372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На основе открытых данных аналитических агентств и отраслевых отчетов за 2023–2025 гг. установлены следующие средние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benchmarks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:</w:t>
      </w:r>
    </w:p>
    <w:p w14:paraId="5D9D78E1" w14:textId="77777777" w:rsidR="00614C12" w:rsidRPr="00614C12" w:rsidRDefault="00614C12" w:rsidP="00614C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Средний LTV</w:t>
      </w:r>
      <w:r w:rsidRPr="00614C12">
        <w:rPr>
          <w:rFonts w:ascii="Times New Roman" w:hAnsi="Times New Roman" w:cs="Times New Roman"/>
          <w:sz w:val="28"/>
          <w:szCs w:val="28"/>
        </w:rPr>
        <w:t>: 22 000 – 35 000 руб.</w:t>
      </w:r>
      <w:r w:rsidRPr="00614C12">
        <w:rPr>
          <w:rFonts w:ascii="Times New Roman" w:hAnsi="Times New Roman" w:cs="Times New Roman"/>
          <w:sz w:val="28"/>
          <w:szCs w:val="28"/>
        </w:rPr>
        <w:br/>
      </w:r>
      <w:r w:rsidRPr="00614C12">
        <w:rPr>
          <w:rFonts w:ascii="Times New Roman" w:hAnsi="Times New Roman" w:cs="Times New Roman"/>
          <w:i/>
          <w:iCs/>
          <w:sz w:val="28"/>
          <w:szCs w:val="28"/>
        </w:rPr>
        <w:t>(Расчет: средний чек 900–1 100 руб. × 1,2–1,8 заказа в мес. × 18–24 мес. активности)</w:t>
      </w:r>
    </w:p>
    <w:p w14:paraId="7D333FFA" w14:textId="77777777" w:rsidR="00614C12" w:rsidRPr="00614C12" w:rsidRDefault="00614C12" w:rsidP="00614C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Средний CAC</w:t>
      </w:r>
      <w:r w:rsidRPr="00614C12">
        <w:rPr>
          <w:rFonts w:ascii="Times New Roman" w:hAnsi="Times New Roman" w:cs="Times New Roman"/>
          <w:sz w:val="28"/>
          <w:szCs w:val="28"/>
        </w:rPr>
        <w:t>: 800 – 1 400 руб.</w:t>
      </w:r>
      <w:r w:rsidRPr="00614C12">
        <w:rPr>
          <w:rFonts w:ascii="Times New Roman" w:hAnsi="Times New Roman" w:cs="Times New Roman"/>
          <w:sz w:val="28"/>
          <w:szCs w:val="28"/>
        </w:rPr>
        <w:br/>
      </w:r>
      <w:r w:rsidRPr="00614C12">
        <w:rPr>
          <w:rFonts w:ascii="Times New Roman" w:hAnsi="Times New Roman" w:cs="Times New Roman"/>
          <w:i/>
          <w:iCs/>
          <w:sz w:val="28"/>
          <w:szCs w:val="28"/>
        </w:rPr>
        <w:t>(Зависит от канала: таргетированная реклама, агрегаторы, реферальные программы. Прямой трафик через сайт снижает CAC на 30–40% по сравнению с агрегаторами)</w:t>
      </w:r>
    </w:p>
    <w:p w14:paraId="322A5DC5" w14:textId="77777777" w:rsidR="00614C12" w:rsidRPr="00614C12" w:rsidRDefault="00614C12" w:rsidP="00614C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Средний RR (ежемесячный)</w:t>
      </w:r>
      <w:r w:rsidRPr="00614C12">
        <w:rPr>
          <w:rFonts w:ascii="Times New Roman" w:hAnsi="Times New Roman" w:cs="Times New Roman"/>
          <w:sz w:val="28"/>
          <w:szCs w:val="28"/>
        </w:rPr>
        <w:t>: 25 – 38%</w:t>
      </w:r>
      <w:r w:rsidRPr="00614C12">
        <w:rPr>
          <w:rFonts w:ascii="Times New Roman" w:hAnsi="Times New Roman" w:cs="Times New Roman"/>
          <w:sz w:val="28"/>
          <w:szCs w:val="28"/>
        </w:rPr>
        <w:br/>
      </w:r>
      <w:r w:rsidRPr="00614C12">
        <w:rPr>
          <w:rFonts w:ascii="Times New Roman" w:hAnsi="Times New Roman" w:cs="Times New Roman"/>
          <w:i/>
          <w:iCs/>
          <w:sz w:val="28"/>
          <w:szCs w:val="28"/>
        </w:rPr>
        <w:t>(Годовой RR составляет 30–45%. Показатель сильно зависит от наличия программы лояльности, скорости доставки и качества UX веб-платформы)</w:t>
      </w:r>
    </w:p>
    <w:p w14:paraId="4FC937FD" w14:textId="77777777" w:rsidR="00614C12" w:rsidRPr="00614C12" w:rsidRDefault="00614C12" w:rsidP="00614C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1.4. Компании с высоким уровнем удержания (RR) в России: ориентиры для разработки</w:t>
      </w:r>
    </w:p>
    <w:p w14:paraId="7575C1BE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Анализ рынка выявил несколько компаний, демонстрирующих стабильно высокий RR (&gt;35% ежемесячно) за счет технологичности продукта и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клиентоориентированной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 xml:space="preserve"> стратегии:</w:t>
      </w:r>
    </w:p>
    <w:p w14:paraId="41969840" w14:textId="77777777" w:rsidR="00614C12" w:rsidRPr="00614C12" w:rsidRDefault="00614C12" w:rsidP="00614C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Додо Пицца</w:t>
      </w:r>
      <w:r w:rsidRPr="00614C12">
        <w:rPr>
          <w:rFonts w:ascii="Times New Roman" w:hAnsi="Times New Roman" w:cs="Times New Roman"/>
          <w:sz w:val="28"/>
          <w:szCs w:val="28"/>
        </w:rPr>
        <w:t xml:space="preserve"> – лидер отрасли по уровню цифровизации. Публично транслирует метрики через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Dodo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 xml:space="preserve"> IS. Ежемесячный RR достигает 38–42% благодаря единой экосистеме (мобильное приложение, веб-сайт,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-бот, прозрачная программа лояльности, предиктивная аналитика заказов).</w:t>
      </w:r>
    </w:p>
    <w:p w14:paraId="495B9D66" w14:textId="77777777" w:rsidR="00614C12" w:rsidRPr="00614C12" w:rsidRDefault="00614C12" w:rsidP="00614C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Яндекс Еда</w:t>
      </w:r>
      <w:r w:rsidRPr="00614C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агрегаторная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 xml:space="preserve"> модель) – удержание обеспечивается кросс-продажами, подпиской Яндекс Плюс, персонализированными </w:t>
      </w:r>
      <w:r w:rsidRPr="00614C12">
        <w:rPr>
          <w:rFonts w:ascii="Times New Roman" w:hAnsi="Times New Roman" w:cs="Times New Roman"/>
          <w:sz w:val="28"/>
          <w:szCs w:val="28"/>
        </w:rPr>
        <w:lastRenderedPageBreak/>
        <w:t>рекомендациями и интеграцией с экосистемой. RR стабильно выше 30% в сегменте премиум-доставки.</w:t>
      </w:r>
    </w:p>
    <w:p w14:paraId="5AB23D33" w14:textId="77777777" w:rsidR="00614C12" w:rsidRPr="00614C12" w:rsidRDefault="00614C12" w:rsidP="00614C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 xml:space="preserve">Региональные сети с сильными </w:t>
      </w:r>
      <w:proofErr w:type="spellStart"/>
      <w:r w:rsidRPr="00614C12">
        <w:rPr>
          <w:rFonts w:ascii="Times New Roman" w:hAnsi="Times New Roman" w:cs="Times New Roman"/>
          <w:b/>
          <w:bCs/>
          <w:sz w:val="28"/>
          <w:szCs w:val="28"/>
        </w:rPr>
        <w:t>digital</w:t>
      </w:r>
      <w:proofErr w:type="spellEnd"/>
      <w:r w:rsidRPr="00614C12">
        <w:rPr>
          <w:rFonts w:ascii="Times New Roman" w:hAnsi="Times New Roman" w:cs="Times New Roman"/>
          <w:b/>
          <w:bCs/>
          <w:sz w:val="28"/>
          <w:szCs w:val="28"/>
        </w:rPr>
        <w:t>-продуктами</w:t>
      </w:r>
      <w:r w:rsidRPr="00614C12">
        <w:rPr>
          <w:rFonts w:ascii="Times New Roman" w:hAnsi="Times New Roman" w:cs="Times New Roman"/>
          <w:sz w:val="28"/>
          <w:szCs w:val="28"/>
        </w:rPr>
        <w:t xml:space="preserve"> (напр., «Пицца Синица», «Тесто», локальные бренды с PWA-сайтами) – демонстрируют RR 32–37% за счет фокуса на локальном комьюнити, упрощенного UX и быстрых сценариев повторного заказа.</w:t>
      </w:r>
    </w:p>
    <w:p w14:paraId="02E2C3FE" w14:textId="77777777" w:rsidR="00614C12" w:rsidRPr="00614C12" w:rsidRDefault="00614C12" w:rsidP="00614C12">
      <w:p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Сильные стороны, подлежащие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перенятию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 xml:space="preserve"> при проектировании веб-сайта:</w:t>
      </w:r>
    </w:p>
    <w:p w14:paraId="5085A16B" w14:textId="77777777" w:rsidR="00614C12" w:rsidRPr="00614C12" w:rsidRDefault="00614C12" w:rsidP="00614C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одностраничный сценарий повторного заказа (Re-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);</w:t>
      </w:r>
    </w:p>
    <w:p w14:paraId="318E5DEA" w14:textId="77777777" w:rsidR="00614C12" w:rsidRPr="00614C12" w:rsidRDefault="00614C12" w:rsidP="00614C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интеграция программы лояльности на уровне сессии;</w:t>
      </w:r>
    </w:p>
    <w:p w14:paraId="3DB5B4E5" w14:textId="77777777" w:rsidR="00614C12" w:rsidRPr="00614C12" w:rsidRDefault="00614C12" w:rsidP="00614C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персонализированные 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14C1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14C12">
        <w:rPr>
          <w:rFonts w:ascii="Times New Roman" w:hAnsi="Times New Roman" w:cs="Times New Roman"/>
          <w:sz w:val="28"/>
          <w:szCs w:val="28"/>
        </w:rPr>
        <w:t>-рассылки на основе истории заказов;</w:t>
      </w:r>
    </w:p>
    <w:p w14:paraId="7EE99BB1" w14:textId="77777777" w:rsidR="00614C12" w:rsidRPr="00614C12" w:rsidRDefault="00614C12" w:rsidP="00614C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прозрачный трекинг статуса заказа в реальном времени;</w:t>
      </w:r>
    </w:p>
    <w:p w14:paraId="6306C1B8" w14:textId="77777777" w:rsidR="00614C12" w:rsidRPr="00614C12" w:rsidRDefault="00614C12" w:rsidP="00614C1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адаптивный интерфейс с приоритетом мобильных устройств (&gt;65% трафика).</w:t>
      </w:r>
    </w:p>
    <w:p w14:paraId="68ADE4AA" w14:textId="77777777" w:rsidR="001B6C70" w:rsidRPr="001B6C70" w:rsidRDefault="001B6C70" w:rsidP="001B6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70">
        <w:rPr>
          <w:rFonts w:ascii="Times New Roman" w:hAnsi="Times New Roman" w:cs="Times New Roman"/>
          <w:b/>
          <w:bCs/>
          <w:sz w:val="28"/>
          <w:szCs w:val="28"/>
        </w:rPr>
        <w:t>1.5. Динамика показателей и визуализация данных</w:t>
      </w:r>
    </w:p>
    <w:p w14:paraId="722A4138" w14:textId="77777777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 xml:space="preserve">Для наглядного обоснования актуальности разработки веб-сайта интернет-магазина пиццерии проведён анализ динамики ключевых показателей рынка с использованием данных аналитических агентств Data Insight, </w:t>
      </w:r>
      <w:proofErr w:type="spellStart"/>
      <w:r w:rsidRPr="001B6C70">
        <w:rPr>
          <w:rFonts w:ascii="Times New Roman" w:hAnsi="Times New Roman" w:cs="Times New Roman"/>
          <w:sz w:val="28"/>
          <w:szCs w:val="28"/>
        </w:rPr>
        <w:t>BusinesStat</w:t>
      </w:r>
      <w:proofErr w:type="spellEnd"/>
      <w:r w:rsidRPr="001B6C70">
        <w:rPr>
          <w:rFonts w:ascii="Times New Roman" w:hAnsi="Times New Roman" w:cs="Times New Roman"/>
          <w:sz w:val="28"/>
          <w:szCs w:val="28"/>
        </w:rPr>
        <w:t>, РБК Исследования рынков.</w:t>
      </w:r>
    </w:p>
    <w:p w14:paraId="5A14FE06" w14:textId="77777777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b/>
          <w:bCs/>
          <w:sz w:val="28"/>
          <w:szCs w:val="28"/>
        </w:rPr>
        <w:t>Динамика объема рынка онлайн-доставки еды в РФ (2020–2024)</w:t>
      </w:r>
    </w:p>
    <w:p w14:paraId="7F181B64" w14:textId="402E8D35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Анализ показывает устойчивый рост рынка доставки готовой еды из ресторанов: за период 2020–2024 гг. объем рынка увеличился в 3,5 раза — с 190 до 648,7 млрд рублей</w:t>
      </w:r>
      <w:r w:rsidRPr="001A19A9">
        <w:rPr>
          <w:rFonts w:ascii="Times New Roman" w:hAnsi="Times New Roman" w:cs="Times New Roman"/>
          <w:sz w:val="28"/>
          <w:szCs w:val="28"/>
        </w:rPr>
        <w:t xml:space="preserve">. </w:t>
      </w:r>
      <w:r w:rsidRPr="001B6C70">
        <w:rPr>
          <w:rFonts w:ascii="Times New Roman" w:hAnsi="Times New Roman" w:cs="Times New Roman"/>
          <w:sz w:val="28"/>
          <w:szCs w:val="28"/>
        </w:rPr>
        <w:t>Особенно значительный рост зафиксирован в 2020–2021 гг. (+58%), что связано с изменением потребительских привычек в период пандемии. В 2024 году рынок показал рост на 30% год к году, что свидетельствует о сохранении положительной динамики даже после завершения активной фазы пандемии.</w:t>
      </w:r>
    </w:p>
    <w:p w14:paraId="6606A61A" w14:textId="77777777" w:rsidR="001A19A9" w:rsidRPr="001A19A9" w:rsidRDefault="001A19A9" w:rsidP="001B6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9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090AB0" wp14:editId="1648262D">
            <wp:extent cx="5940425" cy="3926840"/>
            <wp:effectExtent l="0" t="0" r="3175" b="165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E77EB36" w14:textId="12F9EA71" w:rsidR="001A19A9" w:rsidRPr="001A19A9" w:rsidRDefault="001A19A9" w:rsidP="001A19A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1A19A9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Источник: составлено автором по данным </w:t>
      </w:r>
      <w:proofErr w:type="spellStart"/>
      <w:r w:rsidRPr="001A19A9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BusinesStat</w:t>
      </w:r>
      <w:proofErr w:type="spellEnd"/>
      <w:r w:rsidRPr="001A19A9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и РБК Исследования</w:t>
      </w:r>
    </w:p>
    <w:p w14:paraId="54A74823" w14:textId="281F2916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6C70">
        <w:rPr>
          <w:rFonts w:ascii="Times New Roman" w:hAnsi="Times New Roman" w:cs="Times New Roman"/>
          <w:b/>
          <w:bCs/>
          <w:sz w:val="28"/>
          <w:szCs w:val="28"/>
        </w:rPr>
        <w:t>Соотношение</w:t>
      </w:r>
      <w:r w:rsidRPr="001B6C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LTV/CAC </w:t>
      </w:r>
      <w:r w:rsidRPr="001B6C7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B6C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Retention Rate</w:t>
      </w:r>
    </w:p>
    <w:p w14:paraId="6D6A7C33" w14:textId="3D907E20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Отраслевые бенчмарки показывают, что для e-</w:t>
      </w:r>
      <w:proofErr w:type="spellStart"/>
      <w:r w:rsidRPr="001B6C70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1B6C70">
        <w:rPr>
          <w:rFonts w:ascii="Times New Roman" w:hAnsi="Times New Roman" w:cs="Times New Roman"/>
          <w:sz w:val="28"/>
          <w:szCs w:val="28"/>
        </w:rPr>
        <w:t xml:space="preserve"> сегмента целевое соотношение LTV/CAC составляет 3:1. В сегменте доставки еды медианное значение колеблется в диапазоне 2,5–4:1 в зависимости от зрелости бизнеса и канала привлечения.</w:t>
      </w:r>
    </w:p>
    <w:p w14:paraId="292BAB30" w14:textId="77777777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 xml:space="preserve">Компании с развитыми </w:t>
      </w:r>
      <w:proofErr w:type="spellStart"/>
      <w:r w:rsidRPr="001B6C70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1B6C70">
        <w:rPr>
          <w:rFonts w:ascii="Times New Roman" w:hAnsi="Times New Roman" w:cs="Times New Roman"/>
          <w:sz w:val="28"/>
          <w:szCs w:val="28"/>
        </w:rPr>
        <w:t>-продуктами (например, Додо Пицца) демонстрируют значительно более высокие показатели LTV/CAC (15–20:1) за счет:</w:t>
      </w:r>
    </w:p>
    <w:p w14:paraId="0B531141" w14:textId="77777777" w:rsidR="001B6C70" w:rsidRPr="001B6C70" w:rsidRDefault="001B6C70" w:rsidP="001B6C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низкого CAC при работе с прямой аудиторией через собственный сайт/приложение;</w:t>
      </w:r>
    </w:p>
    <w:p w14:paraId="0CC9A2AA" w14:textId="77777777" w:rsidR="001B6C70" w:rsidRPr="001B6C70" w:rsidRDefault="001B6C70" w:rsidP="001B6C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высокого LTV благодаря программам лояльности и персонализации.</w:t>
      </w:r>
    </w:p>
    <w:p w14:paraId="43C3666B" w14:textId="1CC0623E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Средний коэффициент удержания клиентов (</w:t>
      </w:r>
      <w:proofErr w:type="spellStart"/>
      <w:r w:rsidRPr="001B6C70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1B6C70">
        <w:rPr>
          <w:rFonts w:ascii="Times New Roman" w:hAnsi="Times New Roman" w:cs="Times New Roman"/>
          <w:sz w:val="28"/>
          <w:szCs w:val="28"/>
        </w:rPr>
        <w:t xml:space="preserve"> Rate) в ресторанном бизнесе составляет около 30%, при этом в сегменте доставки пиццы показатель достигает 32–35% для компаний с развитыми </w:t>
      </w:r>
      <w:proofErr w:type="spellStart"/>
      <w:r w:rsidRPr="001B6C70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1B6C70">
        <w:rPr>
          <w:rFonts w:ascii="Times New Roman" w:hAnsi="Times New Roman" w:cs="Times New Roman"/>
          <w:sz w:val="28"/>
          <w:szCs w:val="28"/>
        </w:rPr>
        <w:t>-каналами.</w:t>
      </w:r>
    </w:p>
    <w:p w14:paraId="6956B007" w14:textId="77777777" w:rsidR="001A19A9" w:rsidRPr="001A19A9" w:rsidRDefault="001A19A9" w:rsidP="001B6C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9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E218F5" wp14:editId="76975802">
            <wp:extent cx="5400000" cy="3600000"/>
            <wp:effectExtent l="0" t="0" r="10795" b="63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5F2CC44" w14:textId="7A784700" w:rsidR="001A19A9" w:rsidRPr="001A19A9" w:rsidRDefault="001A19A9" w:rsidP="001A19A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 w:rsidRPr="001A19A9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Источник: отраслевые бенчмарки e-</w:t>
      </w:r>
      <w:proofErr w:type="spellStart"/>
      <w:r w:rsidRPr="001A19A9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commerce</w:t>
      </w:r>
      <w:proofErr w:type="spellEnd"/>
    </w:p>
    <w:p w14:paraId="4F1C2597" w14:textId="3DABE166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b/>
          <w:bCs/>
          <w:sz w:val="28"/>
          <w:szCs w:val="28"/>
        </w:rPr>
        <w:t>Структура заказов пиццерий по каналам</w:t>
      </w:r>
    </w:p>
    <w:p w14:paraId="22492CA6" w14:textId="26CF6C27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Анализ структуры заказов показывает, что агрегаторы (</w:t>
      </w:r>
      <w:proofErr w:type="spellStart"/>
      <w:r w:rsidRPr="001B6C70">
        <w:rPr>
          <w:rFonts w:ascii="Times New Roman" w:hAnsi="Times New Roman" w:cs="Times New Roman"/>
          <w:sz w:val="28"/>
          <w:szCs w:val="28"/>
        </w:rPr>
        <w:t>Яндекс.Еда</w:t>
      </w:r>
      <w:proofErr w:type="spellEnd"/>
      <w:r w:rsidRPr="001B6C70">
        <w:rPr>
          <w:rFonts w:ascii="Times New Roman" w:hAnsi="Times New Roman" w:cs="Times New Roman"/>
          <w:sz w:val="28"/>
          <w:szCs w:val="28"/>
        </w:rPr>
        <w:t>/Деливери) контролируют 34,1% рынка доставки готовой еды. При этом комиссии агрегаторов составляют 15–30% от суммы заказа, что существенно снижает маржинальность пиццерий.</w:t>
      </w:r>
    </w:p>
    <w:p w14:paraId="6C429207" w14:textId="77777777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Заказы через собственные сайты и приложения составляют 40–45% от общего объема, при этом этот канал характеризуется:</w:t>
      </w:r>
    </w:p>
    <w:p w14:paraId="50E8F973" w14:textId="77777777" w:rsidR="001B6C70" w:rsidRPr="001B6C70" w:rsidRDefault="001B6C70" w:rsidP="001B6C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минимальной стоимостью привлечения (CAC);</w:t>
      </w:r>
    </w:p>
    <w:p w14:paraId="14B681A1" w14:textId="77777777" w:rsidR="001B6C70" w:rsidRPr="001B6C70" w:rsidRDefault="001B6C70" w:rsidP="001B6C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максимальной маржинальностью;</w:t>
      </w:r>
    </w:p>
    <w:p w14:paraId="42A606CE" w14:textId="6BE6C9CE" w:rsidR="001A19A9" w:rsidRPr="001A19A9" w:rsidRDefault="001B6C70" w:rsidP="001A19A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возможностью построения прямых отношений с клиентом.</w:t>
      </w:r>
    </w:p>
    <w:p w14:paraId="767DC85A" w14:textId="03BFB55C" w:rsidR="001B6C70" w:rsidRPr="001B6C70" w:rsidRDefault="001B6C70" w:rsidP="001B6C70">
      <w:pPr>
        <w:rPr>
          <w:rFonts w:ascii="Times New Roman" w:hAnsi="Times New Roman" w:cs="Times New Roman"/>
          <w:sz w:val="28"/>
          <w:szCs w:val="28"/>
        </w:rPr>
      </w:pPr>
      <w:r w:rsidRPr="001B6C70">
        <w:rPr>
          <w:rFonts w:ascii="Times New Roman" w:hAnsi="Times New Roman" w:cs="Times New Roman"/>
          <w:sz w:val="28"/>
          <w:szCs w:val="28"/>
        </w:rPr>
        <w:t>Таким образом, разработка собственного веб-сайта для пиццерии является стратегически важным направлением, позволяющим снизить зависимость от агрегаторов, повысить рентабельность бизнеса и улучшить показатели удержания клиентов.</w:t>
      </w:r>
    </w:p>
    <w:p w14:paraId="0CC7FDE8" w14:textId="46FEEB28" w:rsidR="00614C12" w:rsidRPr="00614C12" w:rsidRDefault="00614C12" w:rsidP="00614C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4C12">
        <w:rPr>
          <w:rFonts w:ascii="Times New Roman" w:hAnsi="Times New Roman" w:cs="Times New Roman"/>
          <w:b/>
          <w:bCs/>
          <w:sz w:val="28"/>
          <w:szCs w:val="28"/>
        </w:rPr>
        <w:t>1.6. Выводы по анализу предметной области</w:t>
      </w:r>
    </w:p>
    <w:p w14:paraId="6F64524B" w14:textId="77777777" w:rsidR="00614C12" w:rsidRPr="00614C12" w:rsidRDefault="00614C12" w:rsidP="00614C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Рынок онлайн-доставки пиццы в РФ находится в стадии зрелого роста, где ключевым фактором конкурентоспособности становится удержание клиентов (RR) и оптимизация стоимости привлечения (CAC).</w:t>
      </w:r>
    </w:p>
    <w:p w14:paraId="76B5FD1B" w14:textId="77777777" w:rsidR="00614C12" w:rsidRPr="00614C12" w:rsidRDefault="00614C12" w:rsidP="00614C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 xml:space="preserve">Средние отраслевые значения метрик (LTV ~25–30 тыс. руб., CAC ~1–1,2 тыс. руб., ежемесячный RR ~28–35%) подтверждают </w:t>
      </w:r>
      <w:r w:rsidRPr="00614C12">
        <w:rPr>
          <w:rFonts w:ascii="Times New Roman" w:hAnsi="Times New Roman" w:cs="Times New Roman"/>
          <w:sz w:val="28"/>
          <w:szCs w:val="28"/>
        </w:rPr>
        <w:lastRenderedPageBreak/>
        <w:t>экономическую целесообразность разработки собственного веб-ресурса, снижающего зависимость от агрегаторов.</w:t>
      </w:r>
    </w:p>
    <w:p w14:paraId="3EBBEA5F" w14:textId="77777777" w:rsidR="00614C12" w:rsidRPr="00614C12" w:rsidRDefault="00614C12" w:rsidP="00614C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Компании с высоким RR (Додо Пицца, Яндекс Еда, технологичные локальные сети) демонстрируют, что ключ к удержанию лежит в персонализации, скорости оформления заказа и прозрачности сервисных процессов.</w:t>
      </w:r>
    </w:p>
    <w:p w14:paraId="4A1B1833" w14:textId="77777777" w:rsidR="00614C12" w:rsidRPr="00614C12" w:rsidRDefault="00614C12" w:rsidP="00614C1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C12">
        <w:rPr>
          <w:rFonts w:ascii="Times New Roman" w:hAnsi="Times New Roman" w:cs="Times New Roman"/>
          <w:sz w:val="28"/>
          <w:szCs w:val="28"/>
        </w:rPr>
        <w:t>Проектирование веб-сайта интернет-магазина пиццерии должно включать: адаптивный UX, интеграцию CRM и программы лояльности, аналитический модуль для отслеживания LTV/CAC/RR, а также сценарии повторных заказов. Это обеспечит соответствие современным стандартам цифровой коммерции и создаст основу для масштабирования бизнеса.</w:t>
      </w:r>
    </w:p>
    <w:p w14:paraId="15BCE841" w14:textId="77777777" w:rsidR="00910E6B" w:rsidRPr="001A19A9" w:rsidRDefault="00910E6B">
      <w:pPr>
        <w:rPr>
          <w:rFonts w:ascii="Times New Roman" w:hAnsi="Times New Roman" w:cs="Times New Roman"/>
          <w:sz w:val="28"/>
          <w:szCs w:val="28"/>
        </w:rPr>
      </w:pPr>
    </w:p>
    <w:sectPr w:rsidR="00910E6B" w:rsidRPr="001A1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57B8"/>
    <w:multiLevelType w:val="multilevel"/>
    <w:tmpl w:val="CC96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40289"/>
    <w:multiLevelType w:val="multilevel"/>
    <w:tmpl w:val="FC6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7CB7"/>
    <w:multiLevelType w:val="multilevel"/>
    <w:tmpl w:val="B34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847FB"/>
    <w:multiLevelType w:val="multilevel"/>
    <w:tmpl w:val="3B6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2E4B"/>
    <w:multiLevelType w:val="multilevel"/>
    <w:tmpl w:val="63CC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F3FA4"/>
    <w:multiLevelType w:val="multilevel"/>
    <w:tmpl w:val="7496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E6DD1"/>
    <w:multiLevelType w:val="multilevel"/>
    <w:tmpl w:val="5D2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063DF"/>
    <w:multiLevelType w:val="multilevel"/>
    <w:tmpl w:val="655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D423B"/>
    <w:multiLevelType w:val="multilevel"/>
    <w:tmpl w:val="233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12"/>
    <w:rsid w:val="001A19A9"/>
    <w:rsid w:val="001B6C70"/>
    <w:rsid w:val="00614C12"/>
    <w:rsid w:val="00657927"/>
    <w:rsid w:val="00661E40"/>
    <w:rsid w:val="0091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2BA2"/>
  <w15:chartTrackingRefBased/>
  <w15:docId w15:val="{821549F8-E29C-4861-9885-3F17E8D5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46"/>
    <w:rsid w:val="00614C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2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3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231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686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629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87781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81633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523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4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230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19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564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52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05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65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293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234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551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7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377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04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165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003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5274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4360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269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34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585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8407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531427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864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506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0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3249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4862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731202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632061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8067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010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34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1881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765423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4719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89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145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050639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012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7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294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0697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389185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45083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11678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7683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574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368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77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\Desktop\PizzaStore_Metrics_Char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tudent\Desktop\PizzaStore_Metrics_Char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Рисунок 1.1 – Динамика объема рынка доставки еды из ресторанов в РФ, 2020–2024 гг.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8.7018487509703632E-2"/>
          <c:y val="0.13598963869907896"/>
          <c:w val="0.81589703703703709"/>
          <c:h val="0.74914841292034928"/>
        </c:manualLayout>
      </c:layout>
      <c:lineChart>
        <c:grouping val="standard"/>
        <c:varyColors val="1"/>
        <c:ser>
          <c:idx val="0"/>
          <c:order val="0"/>
          <c:tx>
            <c:strRef>
              <c:f>Market_Dynamics!$B$1</c:f>
              <c:strCache>
                <c:ptCount val="1"/>
                <c:pt idx="0">
                  <c:v>Объем рынка, млрд руб.</c:v>
                </c:pt>
              </c:strCache>
            </c:strRef>
          </c:tx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shade val="53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763-4986-8E73-C2CF07C81995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shade val="76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763-4986-8E73-C2CF07C81995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28575" cap="rnd">
                <a:solidFill>
                  <a:schemeClr val="accent3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F763-4986-8E73-C2CF07C81995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tint val="77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F763-4986-8E73-C2CF07C81995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tint val="54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F763-4986-8E73-C2CF07C8199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1"/>
            <c:showVal val="1"/>
            <c:showCatName val="0"/>
            <c:showSerName val="1"/>
            <c:showPercent val="1"/>
            <c:showBubbleSize val="1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Market_Dynamics!$A$2:$A$6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Market_Dynamics!$B$2:$B$6</c:f>
              <c:numCache>
                <c:formatCode>General</c:formatCode>
                <c:ptCount val="5"/>
                <c:pt idx="0">
                  <c:v>190</c:v>
                </c:pt>
                <c:pt idx="1">
                  <c:v>300</c:v>
                </c:pt>
                <c:pt idx="2">
                  <c:v>410</c:v>
                </c:pt>
                <c:pt idx="3">
                  <c:v>498</c:v>
                </c:pt>
                <c:pt idx="4">
                  <c:v>649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A-F763-4986-8E73-C2CF07C819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Год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Объем рынка, млрд руб.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Рисунок</a:t>
            </a:r>
            <a:r>
              <a:rPr lang="ru-RU" baseline="0"/>
              <a:t> 1.2</a:t>
            </a:r>
            <a:r>
              <a:rPr lang="ru-RU"/>
              <a:t> </a:t>
            </a:r>
            <a:r>
              <a:rPr lang="en-US"/>
              <a:t>LTV/CAC Ratio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LTV_CAC_Analysis!$D$1</c:f>
              <c:strCache>
                <c:ptCount val="1"/>
                <c:pt idx="0">
                  <c:v>LTV/CAC Ratio</c:v>
                </c:pt>
              </c:strCache>
            </c:strRef>
          </c:tx>
          <c:spPr>
            <a:ln>
              <a:prstDash val="solid"/>
            </a:ln>
          </c:spPr>
          <c:invertIfNegative val="1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LTV_CAC_Analysis!$A$2:$A$6</c:f>
              <c:strCache>
                <c:ptCount val="5"/>
                <c:pt idx="0">
                  <c:v>Агрегаторы (среднее)</c:v>
                </c:pt>
                <c:pt idx="1">
                  <c:v>Собственный сайт</c:v>
                </c:pt>
                <c:pt idx="2">
                  <c:v>Додо Пицца (benchmark)</c:v>
                </c:pt>
                <c:pt idx="3">
                  <c:v>Яндекс Еда (агрегатор)</c:v>
                </c:pt>
                <c:pt idx="4">
                  <c:v>Локальные пиццерии</c:v>
                </c:pt>
              </c:strCache>
            </c:strRef>
          </c:cat>
          <c:val>
            <c:numRef>
              <c:f>LTV_CAC_Analysis!$D$2:$D$6</c:f>
              <c:numCache>
                <c:formatCode>General</c:formatCode>
                <c:ptCount val="5"/>
                <c:pt idx="0">
                  <c:v>3</c:v>
                </c:pt>
                <c:pt idx="1">
                  <c:v>16.7</c:v>
                </c:pt>
                <c:pt idx="2">
                  <c:v>17.5</c:v>
                </c:pt>
                <c:pt idx="3">
                  <c:v>4</c:v>
                </c:pt>
                <c:pt idx="4">
                  <c:v>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83-4752-B308-C0BCF78C72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2026-04-18T03:12:00Z</dcterms:created>
  <dcterms:modified xsi:type="dcterms:W3CDTF">2026-04-18T04:03:00Z</dcterms:modified>
</cp:coreProperties>
</file>