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36752" w14:textId="77777777" w:rsidR="004A50A3" w:rsidRPr="00865445" w:rsidRDefault="00E80FFE" w:rsidP="004A0B43">
      <w:pPr>
        <w:tabs>
          <w:tab w:val="left" w:pos="2560"/>
        </w:tabs>
        <w:spacing w:line="276" w:lineRule="auto"/>
        <w:jc w:val="both"/>
        <w:rPr>
          <w:rFonts w:ascii="Arial" w:hAnsi="Arial" w:cs="Arial"/>
          <w:lang w:val="es-419"/>
        </w:rPr>
      </w:pPr>
      <w:r w:rsidRPr="00865445">
        <w:rPr>
          <w:rFonts w:ascii="Arial" w:hAnsi="Arial" w:cs="Arial"/>
          <w:lang w:val="es-419"/>
        </w:rPr>
        <w:t>La presente tarjeta informativa pretende responder</w:t>
      </w:r>
      <w:r w:rsidR="00E64FC9" w:rsidRPr="00865445">
        <w:rPr>
          <w:rFonts w:ascii="Arial" w:hAnsi="Arial" w:cs="Arial"/>
          <w:lang w:val="es-419"/>
        </w:rPr>
        <w:t xml:space="preserve"> a</w:t>
      </w:r>
      <w:r w:rsidR="004A50A3" w:rsidRPr="00865445">
        <w:rPr>
          <w:rFonts w:ascii="Arial" w:hAnsi="Arial" w:cs="Arial"/>
          <w:lang w:val="es-419"/>
        </w:rPr>
        <w:t>l planteamiento siguiente:</w:t>
      </w:r>
    </w:p>
    <w:p w14:paraId="436708CE" w14:textId="0A3882F2" w:rsidR="004A50A3" w:rsidRPr="00865445" w:rsidRDefault="004A50A3" w:rsidP="004A0B43">
      <w:pPr>
        <w:tabs>
          <w:tab w:val="left" w:pos="2560"/>
        </w:tabs>
        <w:spacing w:line="276" w:lineRule="auto"/>
        <w:jc w:val="both"/>
        <w:rPr>
          <w:rFonts w:ascii="Arial" w:hAnsi="Arial" w:cs="Arial"/>
          <w:i/>
          <w:iCs/>
          <w:lang w:val="es-419"/>
        </w:rPr>
      </w:pPr>
      <w:r w:rsidRPr="00865445">
        <w:rPr>
          <w:rFonts w:ascii="Arial" w:hAnsi="Arial" w:cs="Arial"/>
          <w:lang w:val="es-419"/>
        </w:rPr>
        <w:t>“</w:t>
      </w:r>
      <w:r w:rsidRPr="00865445">
        <w:rPr>
          <w:rFonts w:ascii="Arial" w:hAnsi="Arial" w:cs="Arial"/>
          <w:i/>
          <w:iCs/>
          <w:lang w:val="es-419"/>
        </w:rPr>
        <w:t>En el trámite de Solicitud de Préstamos en Pensiones Civiles del Estado, actualmente se usa un pagaré, ahora que el proceso será automatizado ¿qué implicaciones legales hay con d</w:t>
      </w:r>
      <w:r w:rsidR="00147015">
        <w:rPr>
          <w:rFonts w:ascii="Arial" w:hAnsi="Arial" w:cs="Arial"/>
          <w:i/>
          <w:iCs/>
          <w:lang w:val="es-419"/>
        </w:rPr>
        <w:t>i</w:t>
      </w:r>
      <w:r w:rsidRPr="00865445">
        <w:rPr>
          <w:rFonts w:ascii="Arial" w:hAnsi="Arial" w:cs="Arial"/>
          <w:i/>
          <w:iCs/>
          <w:lang w:val="es-419"/>
        </w:rPr>
        <w:t>cho documento en ese contexto? ¿cuáles serían los pasos desde el punto de vista legal?”</w:t>
      </w:r>
    </w:p>
    <w:p w14:paraId="6C0BA9BB" w14:textId="1E7EDCE6" w:rsidR="004A50A3" w:rsidRPr="00865445" w:rsidRDefault="004A50A3" w:rsidP="004A0B43">
      <w:pPr>
        <w:tabs>
          <w:tab w:val="left" w:pos="2560"/>
        </w:tabs>
        <w:spacing w:line="276" w:lineRule="auto"/>
        <w:jc w:val="both"/>
        <w:rPr>
          <w:rFonts w:ascii="Arial" w:hAnsi="Arial" w:cs="Arial"/>
          <w:u w:val="single"/>
          <w:lang w:val="es-419"/>
        </w:rPr>
      </w:pPr>
      <w:r w:rsidRPr="00865445">
        <w:rPr>
          <w:rFonts w:ascii="Arial" w:hAnsi="Arial" w:cs="Arial"/>
          <w:u w:val="single"/>
          <w:lang w:val="es-419"/>
        </w:rPr>
        <w:t xml:space="preserve">Respuesta: </w:t>
      </w:r>
    </w:p>
    <w:p w14:paraId="23B79B4E" w14:textId="7AF5C4B1" w:rsidR="00865445" w:rsidRPr="00865445" w:rsidRDefault="00865445" w:rsidP="004A0B43">
      <w:pPr>
        <w:tabs>
          <w:tab w:val="left" w:pos="2560"/>
        </w:tabs>
        <w:spacing w:line="276" w:lineRule="auto"/>
        <w:jc w:val="both"/>
        <w:rPr>
          <w:rFonts w:ascii="Arial" w:hAnsi="Arial" w:cs="Arial"/>
          <w:lang w:val="es-419"/>
        </w:rPr>
      </w:pPr>
      <w:r w:rsidRPr="00865445">
        <w:rPr>
          <w:rFonts w:ascii="Arial" w:hAnsi="Arial" w:cs="Arial"/>
          <w:lang w:val="es-419"/>
        </w:rPr>
        <w:t>Son varias las menciones que hace la Ley de Gobierno Digital acerca de</w:t>
      </w:r>
      <w:r>
        <w:rPr>
          <w:rFonts w:ascii="Arial" w:hAnsi="Arial" w:cs="Arial"/>
          <w:lang w:val="es-419"/>
        </w:rPr>
        <w:t xml:space="preserve">l llamado </w:t>
      </w:r>
      <w:r w:rsidRPr="00865445">
        <w:rPr>
          <w:rFonts w:ascii="Arial" w:hAnsi="Arial" w:cs="Arial"/>
          <w:i/>
          <w:iCs/>
          <w:lang w:val="es-419"/>
        </w:rPr>
        <w:t xml:space="preserve">principio de equivalencia funcional </w:t>
      </w:r>
      <w:r w:rsidRPr="00865445">
        <w:rPr>
          <w:rFonts w:ascii="Arial" w:hAnsi="Arial" w:cs="Arial"/>
          <w:lang w:val="es-419"/>
        </w:rPr>
        <w:t xml:space="preserve">de la Firma Electrónica Avanzada en relación a una firma autógrafa, a saber: </w:t>
      </w:r>
    </w:p>
    <w:p w14:paraId="209B72CC" w14:textId="3D0E3545" w:rsidR="00865445" w:rsidRPr="00865445" w:rsidRDefault="00865445" w:rsidP="004A0B43">
      <w:pPr>
        <w:tabs>
          <w:tab w:val="left" w:pos="2560"/>
        </w:tabs>
        <w:spacing w:line="276" w:lineRule="auto"/>
        <w:ind w:left="540" w:right="360"/>
        <w:jc w:val="both"/>
        <w:rPr>
          <w:rFonts w:ascii="Arial" w:hAnsi="Arial" w:cs="Arial"/>
          <w:i/>
          <w:iCs/>
          <w:lang w:val="es-419"/>
        </w:rPr>
      </w:pPr>
      <w:r>
        <w:rPr>
          <w:rFonts w:ascii="Arial" w:hAnsi="Arial" w:cs="Arial"/>
          <w:lang w:val="es-419"/>
        </w:rPr>
        <w:t>“</w:t>
      </w:r>
      <w:r w:rsidRPr="00865445">
        <w:rPr>
          <w:rFonts w:ascii="Arial" w:hAnsi="Arial" w:cs="Arial"/>
          <w:b/>
          <w:bCs/>
          <w:i/>
          <w:iCs/>
          <w:lang w:val="es-419"/>
        </w:rPr>
        <w:t>Artículo 6</w:t>
      </w:r>
      <w:r w:rsidRPr="00865445">
        <w:rPr>
          <w:rFonts w:ascii="Arial" w:hAnsi="Arial" w:cs="Arial"/>
          <w:i/>
          <w:iCs/>
          <w:lang w:val="es-419"/>
        </w:rPr>
        <w:t>. (…)</w:t>
      </w:r>
    </w:p>
    <w:p w14:paraId="61FB7B5B" w14:textId="03CD6800" w:rsidR="004A50A3" w:rsidRPr="00865445" w:rsidRDefault="00865445" w:rsidP="004A0B43">
      <w:pPr>
        <w:tabs>
          <w:tab w:val="left" w:pos="2560"/>
        </w:tabs>
        <w:spacing w:line="276" w:lineRule="auto"/>
        <w:ind w:left="540" w:right="360"/>
        <w:jc w:val="both"/>
        <w:rPr>
          <w:rFonts w:ascii="Arial" w:hAnsi="Arial" w:cs="Arial"/>
          <w:i/>
          <w:iCs/>
          <w:u w:val="single"/>
          <w:lang w:val="es-419"/>
        </w:rPr>
      </w:pPr>
      <w:r w:rsidRPr="00865445">
        <w:rPr>
          <w:rFonts w:ascii="Arial" w:hAnsi="Arial" w:cs="Arial"/>
          <w:i/>
          <w:iCs/>
          <w:lang w:val="es-419"/>
        </w:rPr>
        <w:t xml:space="preserve">XXI. Firma electrónica avanzada: Conjunto de datos y caracteres que constituyen la identificación oficial electrónica, permitiendo la identificación plena del firmante, que ha sido creada por medio del uso de las TIC bajo su exclusivo control, de manera que está vinculada únicamente al firmante y a los datos a los que se refiere, lo que permite que sea detectable cualquier modificación ulterior de estos y </w:t>
      </w:r>
      <w:r w:rsidRPr="00865445">
        <w:rPr>
          <w:rFonts w:ascii="Arial" w:hAnsi="Arial" w:cs="Arial"/>
          <w:i/>
          <w:iCs/>
          <w:u w:val="single"/>
          <w:lang w:val="es-419"/>
        </w:rPr>
        <w:t>que produce los mismos efectos jurídicos que la firma autógrafa.</w:t>
      </w:r>
    </w:p>
    <w:p w14:paraId="59C5EB23" w14:textId="77777777" w:rsidR="00865445" w:rsidRPr="00865445" w:rsidRDefault="00865445" w:rsidP="004A0B43">
      <w:pPr>
        <w:tabs>
          <w:tab w:val="left" w:pos="2560"/>
        </w:tabs>
        <w:spacing w:line="276" w:lineRule="auto"/>
        <w:ind w:left="540" w:right="360"/>
        <w:jc w:val="both"/>
        <w:rPr>
          <w:rFonts w:ascii="Arial" w:hAnsi="Arial" w:cs="Arial"/>
          <w:i/>
          <w:iCs/>
          <w:u w:val="single"/>
          <w:lang w:val="es-419"/>
        </w:rPr>
      </w:pPr>
      <w:r w:rsidRPr="00865445">
        <w:rPr>
          <w:rFonts w:ascii="Arial" w:hAnsi="Arial" w:cs="Arial"/>
          <w:b/>
          <w:bCs/>
          <w:i/>
          <w:iCs/>
          <w:u w:val="single"/>
          <w:lang w:val="es-419"/>
        </w:rPr>
        <w:t>Artículo 44.</w:t>
      </w:r>
      <w:r w:rsidRPr="00865445">
        <w:rPr>
          <w:rFonts w:ascii="Arial" w:hAnsi="Arial" w:cs="Arial"/>
          <w:i/>
          <w:iCs/>
          <w:u w:val="single"/>
          <w:lang w:val="es-419"/>
        </w:rPr>
        <w:t xml:space="preserve"> La firma electrónica avanzada producirá los mismos efectos jurídicos que la firma autógrafa. </w:t>
      </w:r>
    </w:p>
    <w:p w14:paraId="5BA53094" w14:textId="18DA929B" w:rsidR="00865445" w:rsidRPr="00865445" w:rsidRDefault="00865445" w:rsidP="004A0B43">
      <w:pPr>
        <w:tabs>
          <w:tab w:val="left" w:pos="2560"/>
        </w:tabs>
        <w:spacing w:line="276" w:lineRule="auto"/>
        <w:ind w:left="540" w:right="360"/>
        <w:jc w:val="both"/>
        <w:rPr>
          <w:rFonts w:ascii="Arial" w:hAnsi="Arial" w:cs="Arial"/>
          <w:i/>
          <w:iCs/>
          <w:u w:val="single"/>
          <w:lang w:val="es-419"/>
        </w:rPr>
      </w:pPr>
      <w:r w:rsidRPr="00865445">
        <w:rPr>
          <w:rFonts w:ascii="Arial" w:hAnsi="Arial" w:cs="Arial"/>
          <w:i/>
          <w:iCs/>
          <w:u w:val="single"/>
          <w:lang w:val="es-419"/>
        </w:rPr>
        <w:t>Salvo prueba en contrario, los documentos que contengan firma electrónica avanzada producirán los mismos efectos jurídicos y probatorios que aquellos instrumentos que cuenten con firma autógrafa.</w:t>
      </w:r>
    </w:p>
    <w:p w14:paraId="587F9A92" w14:textId="2FE3E143" w:rsidR="00865445" w:rsidRPr="00865445" w:rsidRDefault="00865445" w:rsidP="004A0B43">
      <w:pPr>
        <w:tabs>
          <w:tab w:val="left" w:pos="2560"/>
        </w:tabs>
        <w:spacing w:line="276" w:lineRule="auto"/>
        <w:ind w:left="540" w:right="360"/>
        <w:jc w:val="both"/>
        <w:rPr>
          <w:rFonts w:ascii="Arial" w:hAnsi="Arial" w:cs="Arial"/>
          <w:i/>
          <w:iCs/>
          <w:lang w:val="es-419"/>
        </w:rPr>
      </w:pPr>
      <w:r w:rsidRPr="00865445">
        <w:rPr>
          <w:rFonts w:ascii="Arial" w:hAnsi="Arial" w:cs="Arial"/>
          <w:b/>
          <w:bCs/>
          <w:i/>
          <w:iCs/>
          <w:lang w:val="es-419"/>
        </w:rPr>
        <w:t>Artículo 50</w:t>
      </w:r>
      <w:r w:rsidRPr="00865445">
        <w:rPr>
          <w:rFonts w:ascii="Arial" w:hAnsi="Arial" w:cs="Arial"/>
          <w:i/>
          <w:iCs/>
          <w:lang w:val="es-419"/>
        </w:rPr>
        <w:t>. (…)</w:t>
      </w:r>
    </w:p>
    <w:p w14:paraId="04573C82" w14:textId="7CE67584" w:rsidR="00865445" w:rsidRPr="00865445" w:rsidRDefault="00865445" w:rsidP="004A0B43">
      <w:pPr>
        <w:tabs>
          <w:tab w:val="left" w:pos="2560"/>
        </w:tabs>
        <w:spacing w:line="276" w:lineRule="auto"/>
        <w:ind w:left="540" w:right="360"/>
        <w:jc w:val="both"/>
        <w:rPr>
          <w:rFonts w:ascii="Arial" w:hAnsi="Arial" w:cs="Arial"/>
          <w:i/>
          <w:iCs/>
          <w:u w:val="single"/>
          <w:lang w:val="es-419"/>
        </w:rPr>
      </w:pPr>
      <w:r w:rsidRPr="00865445">
        <w:rPr>
          <w:rFonts w:ascii="Arial" w:hAnsi="Arial" w:cs="Arial"/>
          <w:b/>
          <w:bCs/>
          <w:i/>
          <w:iCs/>
          <w:lang w:val="es-419"/>
        </w:rPr>
        <w:t>V. Equivalencia funcional</w:t>
      </w:r>
      <w:r w:rsidRPr="00865445">
        <w:rPr>
          <w:rFonts w:ascii="Arial" w:hAnsi="Arial" w:cs="Arial"/>
          <w:i/>
          <w:iCs/>
          <w:lang w:val="es-419"/>
        </w:rPr>
        <w:t xml:space="preserve">. Consiste en que la firma electrónica avanzada en un mensaje de datos o, en su caso, en un documento digital, </w:t>
      </w:r>
      <w:r w:rsidRPr="00865445">
        <w:rPr>
          <w:rFonts w:ascii="Arial" w:hAnsi="Arial" w:cs="Arial"/>
          <w:i/>
          <w:iCs/>
          <w:u w:val="single"/>
          <w:lang w:val="es-419"/>
        </w:rPr>
        <w:t>satisface el requisito de firma del mismo modo que la firma autógrafa en los documentos impresos.</w:t>
      </w:r>
    </w:p>
    <w:p w14:paraId="78726B62" w14:textId="0437A001" w:rsidR="00865445" w:rsidRPr="00865445" w:rsidRDefault="00865445" w:rsidP="004A0B43">
      <w:pPr>
        <w:tabs>
          <w:tab w:val="left" w:pos="2560"/>
        </w:tabs>
        <w:spacing w:line="276" w:lineRule="auto"/>
        <w:ind w:left="540" w:right="360"/>
        <w:jc w:val="both"/>
        <w:rPr>
          <w:rFonts w:ascii="Arial" w:hAnsi="Arial" w:cs="Arial"/>
          <w:i/>
          <w:iCs/>
          <w:lang w:val="es-419"/>
        </w:rPr>
      </w:pPr>
      <w:r w:rsidRPr="00865445">
        <w:rPr>
          <w:rFonts w:ascii="Arial" w:hAnsi="Arial" w:cs="Arial"/>
          <w:b/>
          <w:bCs/>
          <w:i/>
          <w:iCs/>
          <w:lang w:val="es-419"/>
        </w:rPr>
        <w:t>Artículo 51.</w:t>
      </w:r>
      <w:r w:rsidRPr="00865445">
        <w:rPr>
          <w:rFonts w:ascii="Arial" w:hAnsi="Arial" w:cs="Arial"/>
          <w:i/>
          <w:iCs/>
          <w:lang w:val="es-419"/>
        </w:rPr>
        <w:t xml:space="preserve"> Los expedientes digitales, los mensajes de datos y los documentos digitales tendrán el mismo valor jurídico y la misma eficacia probatoria que la Ley otorga a los documentos en soporte físico y con firma autógrafa, </w:t>
      </w:r>
      <w:r w:rsidRPr="00066437">
        <w:rPr>
          <w:rFonts w:ascii="Arial" w:hAnsi="Arial" w:cs="Arial"/>
          <w:i/>
          <w:iCs/>
          <w:u w:val="single"/>
          <w:lang w:val="es-419"/>
        </w:rPr>
        <w:t>salvo en aquellos casos que esta Ley y demás normatividad aplicable establezca que los documentos deban ser presentados de forma física o mediante comparecencia de la o el firmante que tenga interés</w:t>
      </w:r>
      <w:r>
        <w:rPr>
          <w:rFonts w:ascii="Arial" w:hAnsi="Arial" w:cs="Arial"/>
          <w:i/>
          <w:iCs/>
          <w:lang w:val="es-419"/>
        </w:rPr>
        <w:t>”</w:t>
      </w:r>
      <w:r w:rsidRPr="00865445">
        <w:rPr>
          <w:rFonts w:ascii="Arial" w:hAnsi="Arial" w:cs="Arial"/>
          <w:i/>
          <w:iCs/>
          <w:lang w:val="es-419"/>
        </w:rPr>
        <w:t>.</w:t>
      </w:r>
      <w:r w:rsidR="004A0B43">
        <w:rPr>
          <w:rStyle w:val="Refdenotaalpie"/>
          <w:rFonts w:ascii="Arial" w:hAnsi="Arial" w:cs="Arial"/>
          <w:i/>
          <w:iCs/>
          <w:lang w:val="es-419"/>
        </w:rPr>
        <w:footnoteReference w:id="1"/>
      </w:r>
    </w:p>
    <w:p w14:paraId="5953E46B" w14:textId="77777777" w:rsidR="00066437" w:rsidRDefault="00865445" w:rsidP="004A0B43">
      <w:pPr>
        <w:tabs>
          <w:tab w:val="left" w:pos="2560"/>
        </w:tabs>
        <w:spacing w:line="276" w:lineRule="auto"/>
        <w:jc w:val="both"/>
        <w:rPr>
          <w:rFonts w:ascii="Arial" w:hAnsi="Arial" w:cs="Arial"/>
          <w:lang w:val="es-419"/>
        </w:rPr>
      </w:pPr>
      <w:r>
        <w:rPr>
          <w:rFonts w:ascii="Arial" w:hAnsi="Arial" w:cs="Arial"/>
          <w:lang w:val="es-419"/>
        </w:rPr>
        <w:t xml:space="preserve">En vista de lo anterior se puede concluir que, en aplicación al principio de equivalencia funcional, el firmar un pagaré con una firma electrónica avanzada tiene los mismos efectos que firmarlo de puño y letra. Desde luego, para que esta afirmación sea correcta, la firma electrónica debe cumplir con todos los requisitos de validez que </w:t>
      </w:r>
      <w:r w:rsidR="00066437">
        <w:rPr>
          <w:rFonts w:ascii="Arial" w:hAnsi="Arial" w:cs="Arial"/>
          <w:lang w:val="es-419"/>
        </w:rPr>
        <w:t xml:space="preserve">establece la Ley, es decir, debe poder asegurarse, más allá de toda duda razonable, que la firma guarda identidad con la persona que la estampa, por otro lado, exactamente igual que una firma hecha a puño y letra. </w:t>
      </w:r>
    </w:p>
    <w:p w14:paraId="5FEC23A4" w14:textId="026EB6B4" w:rsidR="00865445" w:rsidRDefault="00066437" w:rsidP="004A0B43">
      <w:pPr>
        <w:tabs>
          <w:tab w:val="left" w:pos="2560"/>
        </w:tabs>
        <w:spacing w:line="276" w:lineRule="auto"/>
        <w:jc w:val="both"/>
        <w:rPr>
          <w:rFonts w:ascii="Arial" w:hAnsi="Arial" w:cs="Arial"/>
          <w:lang w:val="es-419"/>
        </w:rPr>
      </w:pPr>
      <w:r>
        <w:rPr>
          <w:rFonts w:ascii="Arial" w:hAnsi="Arial" w:cs="Arial"/>
          <w:lang w:val="es-419"/>
        </w:rPr>
        <w:lastRenderedPageBreak/>
        <w:t xml:space="preserve">El fin último es vincular a la persona con un signo inequívoco de que otorga su voluntad de obligarse en el contrato – de préstamo garantizado por un pagaré, en este caso. Esa manifestación de voluntad se ha hecho de distintas maneras a lo largo de la historia, un pacto sellado con sangre, una huella dactilar, con su nombre en tinta, o una cadena de ceros y unos. El método es novedoso, pero si puedes garantizar que es la voluntad de Alfredo y no otra la que está plasmada en este documento (aunque el documento sea digital), entonces es válido.  </w:t>
      </w:r>
    </w:p>
    <w:p w14:paraId="1BBE4A3F" w14:textId="77777777" w:rsidR="004A0B43" w:rsidRDefault="004A0B43" w:rsidP="004A0B43">
      <w:pPr>
        <w:tabs>
          <w:tab w:val="left" w:pos="2560"/>
        </w:tabs>
        <w:spacing w:line="276" w:lineRule="auto"/>
        <w:jc w:val="both"/>
        <w:rPr>
          <w:rFonts w:ascii="Arial" w:hAnsi="Arial" w:cs="Arial"/>
          <w:u w:val="single"/>
          <w:lang w:val="es-419"/>
        </w:rPr>
      </w:pPr>
    </w:p>
    <w:p w14:paraId="6C63D9C6" w14:textId="6E331D23" w:rsidR="00066437" w:rsidRPr="004A0B43" w:rsidRDefault="00066437" w:rsidP="004A0B43">
      <w:pPr>
        <w:tabs>
          <w:tab w:val="left" w:pos="2560"/>
        </w:tabs>
        <w:spacing w:line="276" w:lineRule="auto"/>
        <w:jc w:val="both"/>
        <w:rPr>
          <w:rFonts w:ascii="Arial" w:hAnsi="Arial" w:cs="Arial"/>
          <w:u w:val="single"/>
          <w:lang w:val="es-419"/>
        </w:rPr>
      </w:pPr>
      <w:r w:rsidRPr="004A0B43">
        <w:rPr>
          <w:rFonts w:ascii="Arial" w:hAnsi="Arial" w:cs="Arial"/>
          <w:u w:val="single"/>
          <w:lang w:val="es-419"/>
        </w:rPr>
        <w:t xml:space="preserve">Recomendaciones: </w:t>
      </w:r>
    </w:p>
    <w:p w14:paraId="5D50B17F" w14:textId="1CEEEC41" w:rsidR="004A0B43" w:rsidRDefault="00066437" w:rsidP="004A0B43">
      <w:pPr>
        <w:pStyle w:val="Prrafodelista"/>
        <w:numPr>
          <w:ilvl w:val="0"/>
          <w:numId w:val="6"/>
        </w:numPr>
        <w:tabs>
          <w:tab w:val="left" w:pos="2560"/>
        </w:tabs>
        <w:spacing w:line="276" w:lineRule="auto"/>
        <w:jc w:val="both"/>
        <w:rPr>
          <w:rFonts w:ascii="Arial" w:hAnsi="Arial" w:cs="Arial"/>
          <w:lang w:val="es-419"/>
        </w:rPr>
      </w:pPr>
      <w:r w:rsidRPr="004A0B43">
        <w:rPr>
          <w:rFonts w:ascii="Arial" w:hAnsi="Arial" w:cs="Arial"/>
          <w:lang w:val="es-419"/>
        </w:rPr>
        <w:t xml:space="preserve">No debe perderse de vista la precisión que hace el artículo 51 en el sentido de que, en mensajes de datos, expedientes y documentos digitales, opera el principio de equivalencia funcional, siempre que la normatividad aplicable no prevea otra cosa. </w:t>
      </w:r>
    </w:p>
    <w:p w14:paraId="14EA36FC" w14:textId="77777777" w:rsidR="004A0B43" w:rsidRPr="004A0B43" w:rsidRDefault="004A0B43" w:rsidP="004A0B43">
      <w:pPr>
        <w:pStyle w:val="Prrafodelista"/>
        <w:tabs>
          <w:tab w:val="left" w:pos="2560"/>
        </w:tabs>
        <w:spacing w:line="276" w:lineRule="auto"/>
        <w:jc w:val="both"/>
        <w:rPr>
          <w:rFonts w:ascii="Arial" w:hAnsi="Arial" w:cs="Arial"/>
          <w:lang w:val="es-419"/>
        </w:rPr>
      </w:pPr>
    </w:p>
    <w:p w14:paraId="424B4B00" w14:textId="75CD3AAB" w:rsidR="004A0B43" w:rsidRPr="004A0B43" w:rsidRDefault="00066437" w:rsidP="004A0B43">
      <w:pPr>
        <w:pStyle w:val="Prrafodelista"/>
        <w:numPr>
          <w:ilvl w:val="0"/>
          <w:numId w:val="6"/>
        </w:numPr>
        <w:tabs>
          <w:tab w:val="left" w:pos="2560"/>
        </w:tabs>
        <w:spacing w:line="276" w:lineRule="auto"/>
        <w:jc w:val="both"/>
        <w:rPr>
          <w:rFonts w:ascii="Arial" w:hAnsi="Arial" w:cs="Arial"/>
          <w:lang w:val="es-419"/>
        </w:rPr>
      </w:pPr>
      <w:r w:rsidRPr="004A0B43">
        <w:rPr>
          <w:rFonts w:ascii="Arial" w:hAnsi="Arial" w:cs="Arial"/>
          <w:lang w:val="es-419"/>
        </w:rPr>
        <w:t xml:space="preserve">En el caso concreto del trámite de Solicitud de Préstamos de PCE, se sugiere </w:t>
      </w:r>
      <w:r w:rsidR="004A0B43" w:rsidRPr="004A0B43">
        <w:rPr>
          <w:rFonts w:ascii="Arial" w:hAnsi="Arial" w:cs="Arial"/>
          <w:lang w:val="es-419"/>
        </w:rPr>
        <w:t>recomendar a la dependencia que opera el trámite de revisar sus Reglas de Operación para asegurar que no hay alguna restricción que impida el firmado por medios electrónicos, porque esas Reglas de Operación serían, justamente, uno de esos casos de excepción del artículo 51 en que la “</w:t>
      </w:r>
      <w:r w:rsidR="004A0B43" w:rsidRPr="004A0B43">
        <w:rPr>
          <w:rFonts w:ascii="Arial" w:hAnsi="Arial" w:cs="Arial"/>
          <w:i/>
          <w:iCs/>
          <w:lang w:val="es-419"/>
        </w:rPr>
        <w:t>normatividad aplicable establezca que los documentos deban ser presentados de forma física o mediante comparecencia de la o el firmante que tenga interés”.</w:t>
      </w:r>
    </w:p>
    <w:p w14:paraId="18738881" w14:textId="77777777" w:rsidR="004A0B43" w:rsidRDefault="004A0B43" w:rsidP="004A0B43">
      <w:pPr>
        <w:pStyle w:val="Prrafodelista"/>
        <w:tabs>
          <w:tab w:val="left" w:pos="2560"/>
        </w:tabs>
        <w:spacing w:line="276" w:lineRule="auto"/>
        <w:jc w:val="both"/>
        <w:rPr>
          <w:rFonts w:ascii="Arial" w:hAnsi="Arial" w:cs="Arial"/>
          <w:lang w:val="es-419"/>
        </w:rPr>
      </w:pPr>
    </w:p>
    <w:p w14:paraId="4A3DBD4E" w14:textId="784C0BF4" w:rsidR="00066437" w:rsidRPr="004A0B43" w:rsidRDefault="004A0B43" w:rsidP="004A0B43">
      <w:pPr>
        <w:pStyle w:val="Prrafodelista"/>
        <w:numPr>
          <w:ilvl w:val="0"/>
          <w:numId w:val="6"/>
        </w:numPr>
        <w:tabs>
          <w:tab w:val="left" w:pos="2560"/>
        </w:tabs>
        <w:spacing w:line="276" w:lineRule="auto"/>
        <w:jc w:val="both"/>
        <w:rPr>
          <w:rFonts w:ascii="Arial" w:hAnsi="Arial" w:cs="Arial"/>
          <w:lang w:val="es-419"/>
        </w:rPr>
      </w:pPr>
      <w:r w:rsidRPr="004A0B43">
        <w:rPr>
          <w:rFonts w:ascii="Arial" w:hAnsi="Arial" w:cs="Arial"/>
          <w:lang w:val="es-419"/>
        </w:rPr>
        <w:t xml:space="preserve">Finalmente, la recomendación de revisar las reglas de operación para evitar que tengan restringida la posibilidad del firmado electrónico puede hacerse extensiva a todos los trámites que pretendan digitalizarse y que requieran que la persona usuaria otorgue su voluntad mediante firma o rúbrica. </w:t>
      </w:r>
    </w:p>
    <w:sectPr w:rsidR="00066437" w:rsidRPr="004A0B43" w:rsidSect="004A0B43">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855870" w14:textId="77777777" w:rsidR="00A04865" w:rsidRDefault="00A04865" w:rsidP="00474C43">
      <w:pPr>
        <w:spacing w:after="0" w:line="240" w:lineRule="auto"/>
      </w:pPr>
      <w:r>
        <w:separator/>
      </w:r>
    </w:p>
  </w:endnote>
  <w:endnote w:type="continuationSeparator" w:id="0">
    <w:p w14:paraId="53A2F049" w14:textId="77777777" w:rsidR="00A04865" w:rsidRDefault="00A04865" w:rsidP="00474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68415" w14:textId="77777777" w:rsidR="004A0B43" w:rsidRDefault="004A0B4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E07D9" w14:textId="77777777" w:rsidR="004A0B43" w:rsidRDefault="004A0B4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9FC03" w14:textId="77777777" w:rsidR="004A0B43" w:rsidRDefault="004A0B4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40F8F" w14:textId="77777777" w:rsidR="00A04865" w:rsidRDefault="00A04865" w:rsidP="00474C43">
      <w:pPr>
        <w:spacing w:after="0" w:line="240" w:lineRule="auto"/>
      </w:pPr>
      <w:r>
        <w:separator/>
      </w:r>
    </w:p>
  </w:footnote>
  <w:footnote w:type="continuationSeparator" w:id="0">
    <w:p w14:paraId="6C910D86" w14:textId="77777777" w:rsidR="00A04865" w:rsidRDefault="00A04865" w:rsidP="00474C43">
      <w:pPr>
        <w:spacing w:after="0" w:line="240" w:lineRule="auto"/>
      </w:pPr>
      <w:r>
        <w:continuationSeparator/>
      </w:r>
    </w:p>
  </w:footnote>
  <w:footnote w:id="1">
    <w:p w14:paraId="650209B9" w14:textId="411F8F3D" w:rsidR="004A0B43" w:rsidRPr="004A0B43" w:rsidRDefault="004A0B43">
      <w:pPr>
        <w:pStyle w:val="Textonotapie"/>
        <w:rPr>
          <w:lang w:val="es-419"/>
        </w:rPr>
      </w:pPr>
      <w:r>
        <w:rPr>
          <w:rStyle w:val="Refdenotaalpie"/>
        </w:rPr>
        <w:footnoteRef/>
      </w:r>
      <w:r>
        <w:t xml:space="preserve"> </w:t>
      </w:r>
      <w:r>
        <w:rPr>
          <w:lang w:val="es-419"/>
        </w:rPr>
        <w:t xml:space="preserve">Énfasis añadido.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94C0E" w14:textId="77777777" w:rsidR="004A0B43" w:rsidRDefault="004A0B4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80AF0" w14:textId="4882392A" w:rsidR="00474C43" w:rsidRPr="00627892" w:rsidRDefault="004A50A3" w:rsidP="00474C43">
    <w:pPr>
      <w:jc w:val="center"/>
      <w:rPr>
        <w:rFonts w:ascii="Century Gothic" w:hAnsi="Century Gothic" w:cstheme="majorHAnsi"/>
        <w:b/>
        <w:bCs/>
        <w:smallCaps/>
        <w:lang w:val="es-419"/>
      </w:rPr>
    </w:pPr>
    <w:r>
      <w:rPr>
        <w:rFonts w:ascii="Century Gothic" w:hAnsi="Century Gothic" w:cstheme="majorHAnsi"/>
        <w:b/>
        <w:bCs/>
        <w:smallCaps/>
        <w:lang w:val="es-419"/>
      </w:rPr>
      <w:t>Validez de la Firma Electrónica en la suscripción de un pagaré</w:t>
    </w:r>
    <w:r w:rsidR="00715243" w:rsidRPr="00627892">
      <w:rPr>
        <w:rFonts w:ascii="Century Gothic" w:hAnsi="Century Gothic" w:cstheme="majorHAnsi"/>
        <w:b/>
        <w:bCs/>
        <w:smallCaps/>
        <w:lang w:val="es-419"/>
      </w:rPr>
      <w:t xml:space="preserve">. </w:t>
    </w:r>
  </w:p>
  <w:p w14:paraId="619477E1" w14:textId="571BC610" w:rsidR="00474C43" w:rsidRPr="00627892" w:rsidRDefault="00474C43" w:rsidP="00474C43">
    <w:pPr>
      <w:pBdr>
        <w:bottom w:val="single" w:sz="12" w:space="1" w:color="auto"/>
      </w:pBdr>
      <w:jc w:val="right"/>
      <w:rPr>
        <w:rFonts w:ascii="Century Gothic" w:hAnsi="Century Gothic" w:cstheme="majorHAnsi"/>
        <w:lang w:val="es-419"/>
      </w:rPr>
    </w:pPr>
    <w:r w:rsidRPr="00627892">
      <w:rPr>
        <w:rFonts w:ascii="Century Gothic" w:hAnsi="Century Gothic" w:cstheme="majorHAnsi"/>
        <w:lang w:val="es-419"/>
      </w:rPr>
      <w:t>Tarjeta Informativa.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6D07B" w14:textId="77777777" w:rsidR="004A0B43" w:rsidRDefault="004A0B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34355"/>
    <w:multiLevelType w:val="hybridMultilevel"/>
    <w:tmpl w:val="88165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162DBF"/>
    <w:multiLevelType w:val="hybridMultilevel"/>
    <w:tmpl w:val="6D3AD5C6"/>
    <w:lvl w:ilvl="0" w:tplc="96A6EB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E573BB"/>
    <w:multiLevelType w:val="hybridMultilevel"/>
    <w:tmpl w:val="3E8879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EA367F"/>
    <w:multiLevelType w:val="hybridMultilevel"/>
    <w:tmpl w:val="47CE3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FF28C3"/>
    <w:multiLevelType w:val="hybridMultilevel"/>
    <w:tmpl w:val="E15E61D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B62F7F"/>
    <w:multiLevelType w:val="hybridMultilevel"/>
    <w:tmpl w:val="EF4A8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8964606">
    <w:abstractNumId w:val="5"/>
  </w:num>
  <w:num w:numId="2" w16cid:durableId="2115592403">
    <w:abstractNumId w:val="1"/>
  </w:num>
  <w:num w:numId="3" w16cid:durableId="432093780">
    <w:abstractNumId w:val="2"/>
  </w:num>
  <w:num w:numId="4" w16cid:durableId="254167652">
    <w:abstractNumId w:val="3"/>
  </w:num>
  <w:num w:numId="5" w16cid:durableId="1797409815">
    <w:abstractNumId w:val="0"/>
  </w:num>
  <w:num w:numId="6" w16cid:durableId="13577349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DA1"/>
    <w:rsid w:val="00005EAB"/>
    <w:rsid w:val="00025FB5"/>
    <w:rsid w:val="00066437"/>
    <w:rsid w:val="00147015"/>
    <w:rsid w:val="00214CBE"/>
    <w:rsid w:val="0024582B"/>
    <w:rsid w:val="002662E5"/>
    <w:rsid w:val="00330F36"/>
    <w:rsid w:val="00381F41"/>
    <w:rsid w:val="00462C43"/>
    <w:rsid w:val="00474C43"/>
    <w:rsid w:val="004A0B43"/>
    <w:rsid w:val="004A50A3"/>
    <w:rsid w:val="00627892"/>
    <w:rsid w:val="00632447"/>
    <w:rsid w:val="00660509"/>
    <w:rsid w:val="00715243"/>
    <w:rsid w:val="00723DA1"/>
    <w:rsid w:val="007F6274"/>
    <w:rsid w:val="00865445"/>
    <w:rsid w:val="008E1389"/>
    <w:rsid w:val="008E71C0"/>
    <w:rsid w:val="00A04865"/>
    <w:rsid w:val="00C936F9"/>
    <w:rsid w:val="00D659B6"/>
    <w:rsid w:val="00E434CA"/>
    <w:rsid w:val="00E64FC9"/>
    <w:rsid w:val="00E80FFE"/>
    <w:rsid w:val="00EB1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B41DC"/>
  <w15:chartTrackingRefBased/>
  <w15:docId w15:val="{64DD56D4-2954-49A5-9464-3962FC78A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80FFE"/>
    <w:pPr>
      <w:ind w:left="720"/>
      <w:contextualSpacing/>
    </w:pPr>
  </w:style>
  <w:style w:type="paragraph" w:styleId="Encabezado">
    <w:name w:val="header"/>
    <w:basedOn w:val="Normal"/>
    <w:link w:val="EncabezadoCar"/>
    <w:uiPriority w:val="99"/>
    <w:unhideWhenUsed/>
    <w:rsid w:val="00474C4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74C43"/>
  </w:style>
  <w:style w:type="paragraph" w:styleId="Piedepgina">
    <w:name w:val="footer"/>
    <w:basedOn w:val="Normal"/>
    <w:link w:val="PiedepginaCar"/>
    <w:uiPriority w:val="99"/>
    <w:unhideWhenUsed/>
    <w:rsid w:val="00474C4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74C43"/>
  </w:style>
  <w:style w:type="paragraph" w:styleId="Textonotapie">
    <w:name w:val="footnote text"/>
    <w:basedOn w:val="Normal"/>
    <w:link w:val="TextonotapieCar"/>
    <w:uiPriority w:val="99"/>
    <w:semiHidden/>
    <w:unhideWhenUsed/>
    <w:rsid w:val="004A0B4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A0B43"/>
    <w:rPr>
      <w:sz w:val="20"/>
      <w:szCs w:val="20"/>
    </w:rPr>
  </w:style>
  <w:style w:type="character" w:styleId="Refdenotaalpie">
    <w:name w:val="footnote reference"/>
    <w:basedOn w:val="Fuentedeprrafopredeter"/>
    <w:uiPriority w:val="99"/>
    <w:semiHidden/>
    <w:unhideWhenUsed/>
    <w:rsid w:val="004A0B4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9082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587D3B-2BFD-47AB-B463-736E6918F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648</Words>
  <Characters>3568</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N</dc:creator>
  <cp:keywords/>
  <dc:description/>
  <cp:lastModifiedBy>Ing. Alfredo Martínez García</cp:lastModifiedBy>
  <cp:revision>4</cp:revision>
  <dcterms:created xsi:type="dcterms:W3CDTF">2023-08-23T05:31:00Z</dcterms:created>
  <dcterms:modified xsi:type="dcterms:W3CDTF">2023-08-23T15:26:00Z</dcterms:modified>
</cp:coreProperties>
</file>