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需求告警迁移引导弱提示概览页"/>
    <w:p>
      <w:pPr>
        <w:pStyle w:val="Heading1"/>
      </w:pPr>
      <w:r>
        <w:t xml:space="preserve">需求：告警迁移引导弱提示（概览页）</w:t>
      </w:r>
    </w:p>
    <w:bookmarkStart w:id="20" w:name="背景与目标"/>
    <w:p>
      <w:pPr>
        <w:pStyle w:val="Heading2"/>
      </w:pPr>
      <w:r>
        <w:t xml:space="preserve">1. 背景与目标</w:t>
      </w:r>
    </w:p>
    <w:p>
      <w:pPr>
        <w:pStyle w:val="FirstParagraph"/>
      </w:pPr>
      <w:r>
        <w:rPr>
          <w:bCs/>
          <w:b/>
        </w:rPr>
        <w:t xml:space="preserve">背景：</w:t>
      </w:r>
      <w:r>
        <w:t xml:space="preserve"> </w:t>
      </w:r>
      <w:r>
        <w:t xml:space="preserve">新版本中，原【功能】模块下的”故障告警”、</w:t>
      </w:r>
      <w:r>
        <w:t xml:space="preserve">“</w:t>
      </w:r>
      <w:r>
        <w:t xml:space="preserve">事件告警</w:t>
      </w:r>
      <w:r>
        <w:t xml:space="preserve">”</w:t>
      </w:r>
      <w:r>
        <w:t xml:space="preserve">已迁移并合并至【消息】模块统一查看。</w:t>
      </w:r>
    </w:p>
    <w:p>
      <w:pPr>
        <w:pStyle w:val="BodyText"/>
      </w:pPr>
      <w:r>
        <w:rPr>
          <w:bCs/>
          <w:b/>
        </w:rPr>
        <w:t xml:space="preserve">目标：</w:t>
      </w:r>
      <w:r>
        <w:t xml:space="preserve"> </w:t>
      </w:r>
      <w:r>
        <w:t xml:space="preserve">在版本发版后，用户首次进入概览页时，以弱提示形式告知入口变化，降低找寻成本，避免用户误认为功能下线。</w:t>
      </w:r>
    </w:p>
    <w:bookmarkEnd w:id="20"/>
    <w:bookmarkStart w:id="21" w:name="适用范围"/>
    <w:p>
      <w:pPr>
        <w:pStyle w:val="Heading2"/>
      </w:pPr>
      <w:r>
        <w:t xml:space="preserve">2. 适用范围</w:t>
      </w:r>
    </w:p>
    <w:p>
      <w:pPr>
        <w:numPr>
          <w:ilvl w:val="0"/>
          <w:numId w:val="1001"/>
        </w:numPr>
        <w:pStyle w:val="Compact"/>
      </w:pPr>
      <w:r>
        <w:t xml:space="preserve">端：微信小程序</w:t>
      </w:r>
    </w:p>
    <w:p>
      <w:pPr>
        <w:numPr>
          <w:ilvl w:val="0"/>
          <w:numId w:val="1001"/>
        </w:numPr>
        <w:pStyle w:val="Compact"/>
      </w:pPr>
      <w:r>
        <w:t xml:space="preserve">页面：概览页（index / home-screen）</w:t>
      </w:r>
    </w:p>
    <w:bookmarkEnd w:id="21"/>
    <w:bookmarkStart w:id="22" w:name="前置条件"/>
    <w:p>
      <w:pPr>
        <w:pStyle w:val="Heading2"/>
      </w:pPr>
      <w:r>
        <w:t xml:space="preserve">3. 前置条件</w:t>
      </w:r>
    </w:p>
    <w:p>
      <w:pPr>
        <w:numPr>
          <w:ilvl w:val="0"/>
          <w:numId w:val="1002"/>
        </w:numPr>
        <w:pStyle w:val="Compact"/>
      </w:pPr>
      <w:r>
        <w:t xml:space="preserve">用户已登录并进入概览页；</w:t>
      </w:r>
    </w:p>
    <w:p>
      <w:pPr>
        <w:numPr>
          <w:ilvl w:val="0"/>
          <w:numId w:val="1002"/>
        </w:numPr>
        <w:pStyle w:val="Compact"/>
      </w:pPr>
      <w:r>
        <w:t xml:space="preserve">用户此前未点击过本提示的”不再提示”（以本地标记为准，版本号隔离，新大版本可重新引导一次）。</w:t>
      </w:r>
    </w:p>
    <w:bookmarkEnd w:id="22"/>
    <w:bookmarkStart w:id="27" w:name="功能描述"/>
    <w:p>
      <w:pPr>
        <w:pStyle w:val="Heading2"/>
      </w:pPr>
      <w:r>
        <w:t xml:space="preserve">4. 功能描述</w:t>
      </w:r>
    </w:p>
    <w:bookmarkStart w:id="23" w:name="触发时机"/>
    <w:p>
      <w:pPr>
        <w:pStyle w:val="Heading3"/>
      </w:pPr>
      <w:r>
        <w:t xml:space="preserve">4.1 触发时机</w:t>
      </w:r>
    </w:p>
    <w:p>
      <w:pPr>
        <w:numPr>
          <w:ilvl w:val="0"/>
          <w:numId w:val="1003"/>
        </w:numPr>
        <w:pStyle w:val="Compact"/>
      </w:pPr>
      <w:r>
        <w:t xml:space="preserve">进入概览页完成首屏加载后延迟约 0.6s 弹出；</w:t>
      </w:r>
    </w:p>
    <w:p>
      <w:pPr>
        <w:numPr>
          <w:ilvl w:val="0"/>
          <w:numId w:val="1003"/>
        </w:numPr>
        <w:pStyle w:val="Compact"/>
      </w:pPr>
      <w:r>
        <w:t xml:space="preserve">能量全景处于横屏放大态时不弹出；</w:t>
      </w:r>
    </w:p>
    <w:p>
      <w:pPr>
        <w:numPr>
          <w:ilvl w:val="0"/>
          <w:numId w:val="1003"/>
        </w:numPr>
        <w:pStyle w:val="Compact"/>
      </w:pPr>
      <w:r>
        <w:t xml:space="preserve">非概览页（消息、功能、工作台）不触发。</w:t>
      </w:r>
    </w:p>
    <w:bookmarkEnd w:id="23"/>
    <w:bookmarkStart w:id="24" w:name="展示内容与样式"/>
    <w:p>
      <w:pPr>
        <w:pStyle w:val="Heading3"/>
      </w:pPr>
      <w:r>
        <w:t xml:space="preserve">4.2 展示内容与样式</w:t>
      </w:r>
    </w:p>
    <w:p>
      <w:pPr>
        <w:numPr>
          <w:ilvl w:val="0"/>
          <w:numId w:val="1004"/>
        </w:numPr>
        <w:pStyle w:val="Compact"/>
      </w:pPr>
      <w:r>
        <w:t xml:space="preserve">形式：非模态底部气泡弱提示，不阻断页面浏览与滑动，仅气泡本身可点击；</w:t>
      </w:r>
    </w:p>
    <w:p>
      <w:pPr>
        <w:numPr>
          <w:ilvl w:val="0"/>
          <w:numId w:val="1004"/>
        </w:numPr>
        <w:pStyle w:val="Compact"/>
      </w:pPr>
      <w:r>
        <w:t xml:space="preserve">位置：底部 Tab 栏上方，气泡带小箭头指向【消息】Tab，同时【消息】Tab 显示红色呼吸圆点；</w:t>
      </w:r>
    </w:p>
    <w:p>
      <w:pPr>
        <w:numPr>
          <w:ilvl w:val="0"/>
          <w:numId w:val="1004"/>
        </w:numPr>
        <w:pStyle w:val="Compact"/>
      </w:pPr>
      <w:r>
        <w:t xml:space="preserve">文案：</w:t>
      </w:r>
      <w:r>
        <w:t xml:space="preserve">“</w:t>
      </w:r>
      <w:r>
        <w:t xml:space="preserve">功能入口调整：原功能模块的故障告警、事件告警已迁移并合并至【消息】，请前往消息模块统一查看。</w:t>
      </w:r>
      <w:r>
        <w:t xml:space="preserve">”</w:t>
      </w:r>
      <w:r>
        <w:t xml:space="preserve">，其中【消息】高亮；</w:t>
      </w:r>
    </w:p>
    <w:p>
      <w:pPr>
        <w:numPr>
          <w:ilvl w:val="0"/>
          <w:numId w:val="1004"/>
        </w:numPr>
        <w:pStyle w:val="Compact"/>
      </w:pPr>
      <w:r>
        <w:t xml:space="preserve">按钮：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前往查看</w:t>
      </w:r>
      <w:r>
        <w:t xml:space="preserve">”</w:t>
      </w:r>
      <w:r>
        <w:t xml:space="preserve">（主按钮）：跳转至消息页；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不再提示</w:t>
      </w:r>
      <w:r>
        <w:t xml:space="preserve">”</w:t>
      </w:r>
      <w:r>
        <w:t xml:space="preserve">（次按钮）：永久关闭本引导；</w:t>
      </w:r>
    </w:p>
    <w:p>
      <w:pPr>
        <w:numPr>
          <w:ilvl w:val="1"/>
          <w:numId w:val="1005"/>
        </w:numPr>
        <w:pStyle w:val="Compact"/>
      </w:pPr>
      <w:r>
        <w:t xml:space="preserve">右上角”X”：关闭本次提示。</w:t>
      </w:r>
    </w:p>
    <w:bookmarkEnd w:id="24"/>
    <w:bookmarkStart w:id="25" w:name="交互与消失逻辑"/>
    <w:p>
      <w:pPr>
        <w:pStyle w:val="Heading3"/>
      </w:pPr>
      <w:r>
        <w:t xml:space="preserve">4.3 交互与消失逻辑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行为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点击”前往查看”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关闭本次气泡，携带当前企业/站点上下文跳转至消息页；下次进入概览页仍可再次展示（直到点击”不再提示”）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点击”不再提示”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写入本地”不再展示”标记，关闭气泡；之后进入概览页不再展示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点击右上角”X” / 按”Esc”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仅关闭本次，下次进入仍展示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无操作 10s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自动淡出关闭，仅关闭本次，下次进入仍展示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跳转/刷新/重进概览页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如未标记”不再提示”，每次加载均重新展示，便于感知与演示</w:t>
            </w:r>
          </w:p>
        </w:tc>
      </w:tr>
    </w:tbl>
    <w:bookmarkEnd w:id="25"/>
    <w:bookmarkStart w:id="26" w:name="异常兼容"/>
    <w:p>
      <w:pPr>
        <w:pStyle w:val="Heading3"/>
      </w:pPr>
      <w:r>
        <w:t xml:space="preserve">4.4 异常兼容</w:t>
      </w:r>
    </w:p>
    <w:p>
      <w:pPr>
        <w:numPr>
          <w:ilvl w:val="0"/>
          <w:numId w:val="1006"/>
        </w:numPr>
        <w:pStyle w:val="Compact"/>
      </w:pPr>
      <w:r>
        <w:t xml:space="preserve">本地存储不可用时，降级为”仅本次关闭”，不阻断页面及跳转；</w:t>
      </w:r>
    </w:p>
    <w:p>
      <w:pPr>
        <w:numPr>
          <w:ilvl w:val="0"/>
          <w:numId w:val="1006"/>
        </w:numPr>
        <w:pStyle w:val="Compact"/>
      </w:pPr>
      <w:r>
        <w:t xml:space="preserve">关闭/跳转过程异常时，优先保证页面可用，不抛错、不卡死。</w:t>
      </w:r>
    </w:p>
    <w:bookmarkEnd w:id="26"/>
    <w:bookmarkEnd w:id="27"/>
    <w:bookmarkStart w:id="28" w:name="验收标准"/>
    <w:p>
      <w:pPr>
        <w:pStyle w:val="Heading2"/>
      </w:pPr>
      <w:r>
        <w:t xml:space="preserve">5. 验收标准</w:t>
      </w:r>
    </w:p>
    <w:p>
      <w:pPr>
        <w:numPr>
          <w:ilvl w:val="0"/>
          <w:numId w:val="1007"/>
        </w:numPr>
        <w:pStyle w:val="Compact"/>
      </w:pPr>
      <w:r>
        <w:t xml:space="preserve">首次进入概览页，约 0.6s 后底部出现气泡，箭头指向【消息】且有红点呼吸动效；</w:t>
      </w:r>
    </w:p>
    <w:p>
      <w:pPr>
        <w:numPr>
          <w:ilvl w:val="0"/>
          <w:numId w:val="1007"/>
        </w:numPr>
        <w:pStyle w:val="Compact"/>
      </w:pPr>
      <w:r>
        <w:t xml:space="preserve">文案与按钮（前往查看 / 不再提示 / X）与设计一致；</w:t>
      </w:r>
    </w:p>
    <w:p>
      <w:pPr>
        <w:numPr>
          <w:ilvl w:val="0"/>
          <w:numId w:val="1007"/>
        </w:numPr>
        <w:pStyle w:val="Compact"/>
      </w:pPr>
      <w:r>
        <w:t xml:space="preserve">点击”前往查看”正确跳转消息页，且企业/站点上下文保持一致；</w:t>
      </w:r>
    </w:p>
    <w:p>
      <w:pPr>
        <w:numPr>
          <w:ilvl w:val="0"/>
          <w:numId w:val="1007"/>
        </w:numPr>
        <w:pStyle w:val="Compact"/>
      </w:pPr>
      <w:r>
        <w:t xml:space="preserve">点击”不再提示”后，刷新/重进概览页不再出现；清除本地标记后可复现；</w:t>
      </w:r>
    </w:p>
    <w:p>
      <w:pPr>
        <w:numPr>
          <w:ilvl w:val="0"/>
          <w:numId w:val="1007"/>
        </w:numPr>
        <w:pStyle w:val="Compact"/>
      </w:pPr>
      <w:r>
        <w:t xml:space="preserve">点击”X”、</w:t>
      </w:r>
      <w:r>
        <w:t xml:space="preserve">“</w:t>
      </w:r>
      <w:r>
        <w:t xml:space="preserve">Esc</w:t>
      </w:r>
      <w:r>
        <w:t xml:space="preserve">”</w:t>
      </w:r>
      <w:r>
        <w:t xml:space="preserve">或等待 10s 自动消失后，刷新页面可再次出现；</w:t>
      </w:r>
    </w:p>
    <w:p>
      <w:pPr>
        <w:numPr>
          <w:ilvl w:val="0"/>
          <w:numId w:val="1007"/>
        </w:numPr>
        <w:pStyle w:val="Compact"/>
      </w:pPr>
      <w:r>
        <w:t xml:space="preserve">在消息/功能/工作台页不出现；能量全景横屏放大时不出现；</w:t>
      </w:r>
    </w:p>
    <w:p>
      <w:pPr>
        <w:numPr>
          <w:ilvl w:val="0"/>
          <w:numId w:val="1007"/>
        </w:numPr>
        <w:pStyle w:val="Compact"/>
      </w:pPr>
      <w:r>
        <w:t xml:space="preserve">弱提示不遮挡弹窗操作，页面仍可正常滑动。</w:t>
      </w:r>
    </w:p>
    <w:bookmarkEnd w:id="28"/>
    <w:bookmarkStart w:id="29" w:name="备注"/>
    <w:p>
      <w:pPr>
        <w:pStyle w:val="Heading2"/>
      </w:pPr>
      <w:r>
        <w:t xml:space="preserve">6. 备注</w:t>
      </w:r>
    </w:p>
    <w:p>
      <w:pPr>
        <w:numPr>
          <w:ilvl w:val="0"/>
          <w:numId w:val="1008"/>
        </w:numPr>
        <w:pStyle w:val="Compact"/>
      </w:pPr>
      <w:r>
        <w:t xml:space="preserve">本地标记 Key 需带版本号（如 …:v1），发大版本时递增版本号即可实现”新版本重新引导一次”；</w:t>
      </w:r>
    </w:p>
    <w:p>
      <w:pPr>
        <w:numPr>
          <w:ilvl w:val="0"/>
          <w:numId w:val="1008"/>
        </w:numPr>
        <w:pStyle w:val="Compact"/>
      </w:pPr>
      <w:r>
        <w:t xml:space="preserve">建议后期补充点击/跳转埋点，用于评估引导到达率。</w:t>
      </w:r>
    </w:p>
    <w:bookmarkEnd w:id="29"/>
    <w:bookmarkEnd w:id="30"/>
    <w:sectPr w:rsidR="00FC693F" w:rsidRPr="0006063C" w:rsidSect="00034616">
      <w:footerReference w:type="default" r:id="rId9"/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t xml:space="preserve">第 </w:t>
      <w:fldChar w:fldCharType="begin"/>
      <w:instrText xml:space="preserve"> PAGE </w:instrText>
      <w:fldChar w:fldCharType="separate"/>
    </w:r>
    <w:r>
      <w:rPr>
        <w:rFonts w:ascii="宋体" w:hAnsi="宋体" w:eastAsia="宋体"/>
        <w:sz w:val="21"/>
      </w:rPr>
      <w:t>1</w:t>
      <w:fldChar w:fldCharType="end"/>
    </w:r>
    <w:r>
      <w:rPr>
        <w:rFonts w:ascii="宋体" w:hAnsi="宋体" w:eastAsia="宋体"/>
        <w:sz w:val="21"/>
      </w:rPr>
      <w:t xml:space="preserve"> 页，共 </w:t>
      <w:fldChar w:fldCharType="begin"/>
      <w:instrText xml:space="preserve"> NUMPAGES </w:instrText>
      <w:fldChar w:fldCharType="separate"/>
    </w:r>
    <w:r>
      <w:rPr>
        <w:rFonts w:ascii="宋体" w:hAnsi="宋体" w:eastAsia="宋体"/>
        <w:sz w:val="21"/>
      </w:rPr>
      <w:t>1</w:t>
      <w:fldChar w:fldCharType="end"/>
    </w:r>
    <w:r>
      <w:rPr>
        <w:rFonts w:ascii="宋体" w:hAnsi="宋体" w:eastAsia="宋体"/>
        <w:sz w:val="21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120" w:line="360" w:lineRule="auto"/>
      <w:ind w:firstLine="640" w:left="0" w:right="0"/>
      <w:jc w:val="both"/>
    </w:pPr>
    <w:rPr>
      <w:rFonts w:ascii="宋体" w:eastAsia="宋体" w:hAnsi="宋体"/>
      <w:b w:val="0"/>
      <w:i w:val="0"/>
      <w:color w:val="000000"/>
      <w:sz w:val="24"/>
      <w:u w:val="none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0"/>
    </w:pPr>
    <w:rPr>
      <w:rFonts w:ascii="宋体" w:eastAsia="宋体" w:hAnsi="宋体"/>
      <w:b/>
      <w:bCs/>
      <w:i w:val="0"/>
      <w:color w:val="000000"/>
      <w:sz w:val="32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1"/>
    </w:pPr>
    <w:rPr>
      <w:rFonts w:ascii="宋体" w:eastAsia="宋体" w:hAnsi="宋体"/>
      <w:b/>
      <w:bCs/>
      <w:i w:val="0"/>
      <w:color w:val="000000"/>
      <w:sz w:val="28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2"/>
    </w:pPr>
    <w:rPr>
      <w:rFonts w:ascii="宋体" w:eastAsia="宋体" w:hAnsi="宋体"/>
      <w:b/>
      <w:bCs/>
      <w:i w:val="0"/>
      <w:color w:val="000000"/>
      <w:sz w:val="24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3"/>
    </w:pPr>
    <w:rPr>
      <w:rFonts w:ascii="宋体" w:eastAsia="宋体" w:hAnsi="宋体"/>
      <w:b/>
      <w:bCs/>
      <w:i w:val="0"/>
      <w:iCs/>
      <w:color w:val="000000"/>
      <w:sz w:val="24"/>
      <w:u w:val="none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4"/>
    </w:pPr>
    <w:rPr>
      <w:rFonts w:ascii="宋体" w:eastAsia="宋体" w:hAnsi="宋体"/>
      <w:b/>
      <w:i w:val="0"/>
      <w:color w:val="000000"/>
      <w:sz w:val="24"/>
      <w:u w:val="none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5"/>
    </w:pPr>
    <w:rPr>
      <w:rFonts w:ascii="宋体" w:eastAsia="宋体" w:hAnsi="宋体"/>
      <w:b/>
      <w:i w:val="0"/>
      <w:iCs/>
      <w:color w:val="000000"/>
      <w:sz w:val="24"/>
      <w:u w:val="none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3000" w:line="240" w:lineRule="auto"/>
      <w:ind w:firstLine="0" w:left="0" w:right="0"/>
      <w:contextualSpacing/>
      <w:jc w:val="center"/>
    </w:pPr>
    <w:rPr>
      <w:rFonts w:ascii="宋体" w:eastAsia="宋体" w:hAnsi="宋体"/>
      <w:b/>
      <w:i w:val="0"/>
      <w:color w:val="000000"/>
      <w:spacing w:val="5"/>
      <w:kern w:val="28"/>
      <w:sz w:val="40"/>
      <w:szCs w:val="52"/>
      <w:u w:val="none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before="0" w:line="288" w:lineRule="auto"/>
      <w:ind w:firstLine="0" w:left="0" w:right="0"/>
      <w:jc w:val="center"/>
    </w:pPr>
    <w:rPr>
      <w:rFonts w:ascii="宋体" w:eastAsia="宋体" w:hAnsi="宋体"/>
      <w:b/>
      <w:i w:val="0"/>
      <w:iCs/>
      <w:color w:val="000000"/>
      <w:spacing w:val="15"/>
      <w:sz w:val="60"/>
      <w:szCs w:val="24"/>
      <w:u w:val="none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120" w:line="360" w:lineRule="auto"/>
      <w:ind w:firstLine="0" w:left="640" w:right="640"/>
      <w:jc w:val="left"/>
    </w:pPr>
    <w:rPr>
      <w:rFonts w:ascii="宋体" w:eastAsia="宋体" w:hAnsi="宋体"/>
      <w:b w:val="0"/>
      <w:i/>
      <w:iCs/>
      <w:color w:val="000000"/>
      <w:sz w:val="24"/>
      <w:u w:val="none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360" w:lineRule="auto"/>
      <w:ind w:firstLine="0" w:left="0" w:right="0"/>
      <w:jc w:val="center"/>
    </w:pPr>
    <w:rPr>
      <w:rFonts w:ascii="宋体" w:eastAsia="宋体" w:hAnsi="宋体"/>
      <w:b w:val="0"/>
      <w:bCs/>
      <w:i w:val="0"/>
      <w:color w:val="000000"/>
      <w:sz w:val="24"/>
      <w:szCs w:val="18"/>
      <w:u w:val="none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0" w:before="0" w:line="360" w:lineRule="auto"/>
      <w:ind w:firstLine="0" w:left="0" w:right="0"/>
      <w:jc w:val="center"/>
      <w:outlineLvl w:val="9"/>
    </w:pPr>
    <w:rPr>
      <w:rFonts w:ascii="宋体" w:eastAsia="宋体" w:hAnsi="宋体"/>
      <w:b/>
      <w:i w:val="0"/>
      <w:color w:val="000000"/>
      <w:sz w:val="28"/>
      <w:u w:val="none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  <w:jc w:val="left"/>
    </w:pPr>
    <w:tblPr>
      <w:tblInd w:type="dxa" w:w="0"/>
      <w:tblBorders>
        <w:top w:color="000000" w:sz="4" w:val="single"/>
        <w:bottom w:color="000000" w:sz="4" w:val="single"/>
        <w:left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80"/>
        <w:bottom w:type="dxa" w:w="80"/>
        <w:left w:type="dxa" w:w="80"/>
        <w:right w:type="dxa" w:w="80"/>
      </w:tblCellMar>
    </w:tblPr>
    <w:tblStylePr w:type="firstRow">
      <w:tcPr>
        <w:shd w:fill="C1DBF3"/>
      </w:tcPr>
      <w:pPr>
        <w:jc w:val="center"/>
      </w:pPr>
      <w:rPr>
        <w:b/>
        <w:rFonts w:ascii="宋体" w:eastAsia="宋体" w:hAnsi="宋体"/>
        <w:sz w:val="24"/>
        <w:color w:val="000000"/>
      </w:rPr>
    </w:tblStylePr>
    <w:rPr>
      <w:rFonts w:ascii="宋体" w:eastAsia="宋体" w:hAnsi="宋体"/>
      <w:sz w:val="24"/>
      <w:color w:val="000000"/>
    </w:r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uthor" w:type="paragraph">
    <w:name w:val="Author"/>
    <w:pPr>
      <w:spacing w:after="7000" w:before="0" w:line="240" w:lineRule="auto"/>
      <w:ind w:firstLine="0" w:left="0" w:right="0"/>
      <w:jc w:val="center"/>
    </w:pPr>
    <w:rPr>
      <w:rFonts w:ascii="宋体" w:eastAsia="宋体" w:hAnsi="宋体"/>
      <w:b/>
      <w:i w:val="0"/>
      <w:color w:val="000000"/>
      <w:sz w:val="40"/>
      <w:u w:val="none"/>
    </w:rPr>
  </w:style>
  <w:style w:customStyle="1" w:styleId="Date" w:type="paragraph">
    <w:name w:val="Date"/>
    <w:pPr>
      <w:spacing w:after="240" w:before="120" w:line="240" w:lineRule="auto"/>
      <w:ind w:firstLine="0" w:left="0" w:right="0"/>
      <w:jc w:val="center"/>
    </w:pPr>
    <w:rPr>
      <w:rFonts w:ascii="宋体" w:eastAsia="宋体" w:hAnsi="宋体"/>
      <w:b w:val="0"/>
      <w:i w:val="0"/>
      <w:color w:val="000000"/>
      <w:sz w:val="28"/>
      <w:u w:val="non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2026-09-18T06:56:55Z</dcterms:created>
  <dcterms:modified xsi:type="dcterms:W3CDTF">2026-09-18T06:56:55Z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