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3965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965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3A7A52"/>
          <w:sz w:val="24"/>
        </w:rPr>
        <w:t>Copal Inc</w:t>
      </w:r>
    </w:p>
    <w:p>
      <w:pPr>
        <w:spacing w:before="400"/>
      </w:pPr>
      <w:r>
        <w:rPr>
          <w:rFonts w:ascii="Calibri" w:hAnsi="Calibri"/>
          <w:b/>
          <w:i w:val="0"/>
          <w:color w:val="0F141B"/>
          <w:sz w:val="40"/>
        </w:rPr>
        <w:t>Cotización — Infraestructura y Operación</w:t>
      </w:r>
    </w:p>
    <w:p>
      <w:r>
        <w:rPr>
          <w:rFonts w:ascii="Calibri" w:hAnsi="Calibri"/>
          <w:b w:val="0"/>
          <w:i w:val="0"/>
          <w:color w:val="7A4A2E"/>
          <w:sz w:val="26"/>
        </w:rPr>
        <w:t>Servicios recurrentes: hosting, CMS, formulario y correo</w:t>
      </w:r>
    </w:p>
    <w:p>
      <w:pPr>
        <w:spacing w:before="80"/>
      </w:pPr>
      <w:r>
        <w:rPr>
          <w:rFonts w:ascii="Calibri" w:hAnsi="Calibri"/>
          <w:b w:val="0"/>
          <w:i w:val="0"/>
          <w:color w:val="3A7A52"/>
          <w:sz w:val="22"/>
        </w:rPr>
        <w:t>Omnimind — Sitio Web Corporativo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Proyecto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Omnimind — Sitio Web Corporativo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Versión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1.0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Julio 2026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Autor / Equipo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Copal Inc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Estado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[Borrador / En revisión / Aprobado]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Confidencialidad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CONFIDENCIAL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Descripción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Copal propone operar el sitio de Omnimind sobre una arquitectura estática y serverless en Cloudflare, que permite a Omnimind gestionar el sitio y el blog sin tocar código, recibir consultas por un formulario funcional y contar con correo propio @dominio. El diseño es lightweight y económico: casi todo cae en el tier gratuito de Cloudflare, por lo que el único costo recurrente real es el dominio.</w:t>
      </w:r>
    </w:p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TC referencial 1 USD = $18.50 MXN. Presupuesto del cliente: $2,000 MXN/año. Desarrollo y SEO patrocinados por Copal ($0).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Alcance de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124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425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Modelo de costo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Desarrollo del sitio (Astro)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Patrocinado por Copal — $0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SEO y sitemap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Patrocinado por Copal — $0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Migración de dominio y puesta en producción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Patrocinado por Copal — $0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Hosting + CDN + SSL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Pages — $0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CMS para el blog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Decap/Sveltia — $0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Formulario de contacto (serverless)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Fn + Resend + Turnstile — $0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Correo entrante @dominio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 — $0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Dominio (renovación anual)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Costo recurrente — ver 3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Correo saliente profesional (opcional)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Opcional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Zoho Mail — ver 4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Infraestructura (costo 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124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USD/año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MXN/año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Pages (hosting + CDN + SSL)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Workers (OAuth CMS + formulario)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Email Routing (correo entrante)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Turnstile (anti-spam)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DNS + WAF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Resend / Brevo (envío del formulario)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 (repositorio + respaldo)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Dominio .com (vía Cloudflare Registrar, a costo)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~$11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~$204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TOTAL RECURRENTE (base)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F141B"/>
                <w:sz w:val="18"/>
              </w:rPr>
              <w:t>~$11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F141B"/>
                <w:sz w:val="18"/>
              </w:rPr>
              <w:t>~$204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El dominio hoy se renueva en WordPress.com (~$22 USD ≈ $407 MXN). Transferirlo a Cloudflare Registrar lo baja a ~$11 USD. Un .mx/.com.mx sería ~$30–40 USD/año.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Correo — Dos Escenarios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Cloudflare Email Routing recibe correo gratis, pero no envía. Para responder como @dominio hay dos caminos: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4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 — Recomendado (arranque)</w:t>
            </w:r>
          </w:p>
        </w:tc>
        <w:tc>
          <w:tcPr>
            <w:tcW w:type="dxa" w:w="311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 — Buzón profesional</w:t>
            </w:r>
          </w:p>
        </w:tc>
      </w:tr>
      <w:tr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Recibir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 (gratis)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 (gratis)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Enviar como @dominio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Gmail 'Enviar como' + relay SMTP gratuito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Zoho Mail (buzón real, IMAP)</w:t>
            </w:r>
          </w:p>
        </w:tc>
      </w:tr>
      <w:tr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Límite de envío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~300 correos/día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Sin ese límite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Costo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$0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~$222 MXN / buzón / año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Recomendación: iniciar con el Escenario A ($0). Zoho también tiene tier gratuito (5 buzones, solo webmail) como punto intermedio a $0.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Resumen Ejecutivo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4819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MXN/año</w:t>
            </w:r>
          </w:p>
        </w:tc>
      </w:tr>
      <w:tr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 (recomendado)</w:t>
            </w:r>
          </w:p>
        </w:tc>
        <w:tc>
          <w:tcPr>
            <w:tcW w:type="dxa" w:w="4819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Dominio + Cloudflare + correo bidireccional gratis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F141B"/>
                <w:sz w:val="18"/>
              </w:rPr>
              <w:t>~$204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Escenario A + 1 buzón Zoho Mail Lite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~$426</w:t>
            </w:r>
          </w:p>
        </w:tc>
      </w:tr>
      <w:tr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 (2 buzones)</w:t>
            </w:r>
          </w:p>
        </w:tc>
        <w:tc>
          <w:tcPr>
            <w:tcW w:type="dxa" w:w="4819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Escenario A + 2 buzones Zoho Mail Lite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~$648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520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Comparativo vs. presupuesto</w:t>
            </w:r>
          </w:p>
        </w:tc>
        <w:tc>
          <w:tcPr>
            <w:tcW w:type="dxa" w:w="198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MXN</w:t>
            </w:r>
          </w:p>
        </w:tc>
      </w:tr>
      <w:tr>
        <w:tc>
          <w:tcPr>
            <w:tcW w:type="dxa" w:w="652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Presupuesto anual del cliente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$2,000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Costo recomendado (Escenario A)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~$204</w:t>
            </w:r>
          </w:p>
        </w:tc>
      </w:tr>
      <w:tr>
        <w:tc>
          <w:tcPr>
            <w:tcW w:type="dxa" w:w="652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Margen disponible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F141B"/>
                <w:sz w:val="18"/>
              </w:rPr>
              <w:t>~$1,796 (90%)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6. Condiciones Generales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Desarrollo, SEO y migración son patrocinados por Copal y no se facturan.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La infraestructura se contrata a nombre de Omnimind (dominio, Cloudflare, correo), bajo su propiedad y control.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Los tiers gratuitos están sujetos a las políticas de cada proveedor; ante cambios, Copal propondrá una alternativa equivalente.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tipo de cambio y el precio del dominio se confirman al formalizar.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Esta cotización tiene vigencia de 15 días naturales.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Firmas y Aprobaciones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presente documento ha sido elaborado, revisado y aprobado por los responsables indicados a continuación.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1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6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Elaboró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Revisó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Aprobó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7370"/>
        </w:tcPr>
        <w:p>
          <w:pPr>
            <w:jc w:val="left"/>
          </w:pPr>
          <w:r>
            <w:rPr>
              <w:rFonts w:ascii="Calibri" w:hAnsi="Calibri"/>
              <w:color w:val="9BA0A8"/>
              <w:sz w:val="14"/>
            </w:rPr>
            <w:t>Copal Inc  —  CONFIDENCIAL</w:t>
          </w:r>
        </w:p>
      </w:tc>
      <w:tc>
        <w:tcPr>
          <w:tcW w:type="dxa" w:w="1990"/>
        </w:tcPr>
        <w:p>
          <w:pPr>
            <w:jc w:val="right"/>
          </w:pPr>
          <w:r>
            <w:rPr>
              <w:rFonts w:ascii="Calibri" w:hAnsi="Calibri"/>
              <w:color w:val="9BA0A8"/>
              <w:sz w:val="14"/>
            </w:rPr>
            <w:t xml:space="preserve">Página </w:t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7370"/>
          <w:shd w:val="clear" w:color="auto" w:fill="0F141B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92420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pa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20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rPr>
              <w:rFonts w:ascii="Calibri" w:hAnsi="Calibri"/>
              <w:b/>
              <w:color w:val="FFFFFF"/>
              <w:sz w:val="18"/>
            </w:rPr>
            <w:t xml:space="preserve">Cotización  </w:t>
          </w:r>
          <w:r>
            <w:rPr>
              <w:rFonts w:ascii="Calibri" w:hAnsi="Calibri"/>
              <w:b w:val="0"/>
              <w:color w:val="9BA0A8"/>
              <w:sz w:val="14"/>
            </w:rPr>
            <w:t>COT-OMNI-001 · v1.0 · Julio 2026</w:t>
          </w:r>
        </w:p>
      </w:tc>
      <w:tc>
        <w:tcPr>
          <w:tcW w:type="dxa" w:w="1990"/>
          <w:shd w:val="clear" w:color="auto" w:fill="7A4A2E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color w:val="FFFFFF"/>
              <w:sz w:val="13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