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3965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a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965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3A7A52"/>
          <w:sz w:val="24"/>
        </w:rPr>
        <w:t>Copal Inc</w:t>
      </w:r>
    </w:p>
    <w:p>
      <w:pPr>
        <w:spacing w:before="400"/>
      </w:pPr>
      <w:r>
        <w:rPr>
          <w:rFonts w:ascii="Calibri" w:hAnsi="Calibri"/>
          <w:b/>
          <w:i w:val="0"/>
          <w:color w:val="0F141B"/>
          <w:sz w:val="40"/>
        </w:rPr>
        <w:t>Documentación Técnica</w:t>
      </w:r>
    </w:p>
    <w:p>
      <w:r>
        <w:rPr>
          <w:rFonts w:ascii="Calibri" w:hAnsi="Calibri"/>
          <w:b w:val="0"/>
          <w:i w:val="0"/>
          <w:color w:val="7A4A2E"/>
          <w:sz w:val="26"/>
        </w:rPr>
        <w:t>Sitio estático + CMS + correo (JAMstack sobre Cloudflare)</w:t>
      </w:r>
    </w:p>
    <w:p>
      <w:pPr>
        <w:spacing w:before="80"/>
      </w:pPr>
      <w:r>
        <w:rPr>
          <w:rFonts w:ascii="Calibri" w:hAnsi="Calibri"/>
          <w:b w:val="0"/>
          <w:i w:val="0"/>
          <w:color w:val="3A7A52"/>
          <w:sz w:val="22"/>
        </w:rPr>
        <w:t>Omnimind — Sitio Web Corporativo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Proyecto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Omnimind — Sitio Web Corporativo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Versión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1.0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Julio 2026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Autor / Equipo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Copal Inc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Estado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[Borrador / En revisión / Aprobado]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Confidencialidad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CONFIDENCIAL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1. Objetivo del Documento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Describir la arquitectura, componentes, interfaces, despliegue y seguridad del sitio web de Omnimind, como referencia para desarrollo, operación y para el equipo de Omnimind que gestionará el contenido. Incluye el plan de migración del dominio (actualmente en WordPress) y la puesta en producción sobre Cloudflare.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2. Alcance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Cubre: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Sitio institucional estático (Astro): home, servicios, sobre-nosotras, blog, contacto, aviso de privacidad.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CMS para autogestión del blog (Decap/Sveltia) con autenticación por GitHub.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Formulario de contacto funcional (serverless).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Correo @dominio (entrante por Email Routing; saliente opcional).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Migración de dominio WordPress → Cloudflare y despliegue en Cloudflare Pages.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Fuera de alcance: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Desarrollo de nuevas secciones o rediseño (patrocinado por Copal, no cotizado).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SEO y estrategia de contenidos (patrocinado por Copal, no cotizado).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E-commerce, portal de usuarios o cualquier funcionalidad con base de datos.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3. Arquitectura del Sistema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Arquitectura JAMstack / serverless: el sitio se pre-construye y se sirve estático desde el CDN de Cloudflare. No hay servidor de aplicación ni base de datos; el contenido vive versionado en Git y las funciones dinámicas corren como funciones serverless.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58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9BA0A8"/>
          <w:sz w:val="16"/>
        </w:rPr>
        <w:t>Figura 1. Arquitectura del sitio Omnimind sobre Cloudflare.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3.1 Flujo Principal (publicación de contenido)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Administradora → /admin (CMS) → login vía Worker OAuth → commit Markdown a GitHub → push a main → build de Cloudflare Pages → deploy a edge. Un artículo nuevo queda publicado en ~1–2 minutos, versionado en Git.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4. Componentes y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35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Función principal</w:t>
            </w:r>
          </w:p>
        </w:tc>
        <w:tc>
          <w:tcPr>
            <w:tcW w:type="dxa" w:w="198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850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Costo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1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Sitio estático</w:t>
            </w:r>
          </w:p>
        </w:tc>
        <w:tc>
          <w:tcPr>
            <w:tcW w:type="dxa" w:w="283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Renderiza páginas y blog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Astro v7 + MDX</w:t>
            </w:r>
          </w:p>
        </w:tc>
        <w:tc>
          <w:tcPr>
            <w:tcW w:type="dxa" w:w="85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Hosting/CDN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Sirve el sitio con SSL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Pages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3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CMS</w:t>
            </w:r>
          </w:p>
        </w:tc>
        <w:tc>
          <w:tcPr>
            <w:tcW w:type="dxa" w:w="283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Edición del blog sin código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Decap / Sveltia</w:t>
            </w:r>
          </w:p>
        </w:tc>
        <w:tc>
          <w:tcPr>
            <w:tcW w:type="dxa" w:w="85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Auth del CMS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Login GitHub para editar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Worker OAuth proxy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5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Formulario</w:t>
            </w:r>
          </w:p>
        </w:tc>
        <w:tc>
          <w:tcPr>
            <w:tcW w:type="dxa" w:w="283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Recibe y envía consultas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Pages Function</w:t>
            </w:r>
          </w:p>
        </w:tc>
        <w:tc>
          <w:tcPr>
            <w:tcW w:type="dxa" w:w="85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Anti-spam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Filtra bots en el formulario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Turnstile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7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Envío de correo</w:t>
            </w:r>
          </w:p>
        </w:tc>
        <w:tc>
          <w:tcPr>
            <w:tcW w:type="dxa" w:w="283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Entrega el correo del formulario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Resend / Brevo</w:t>
            </w:r>
          </w:p>
        </w:tc>
        <w:tc>
          <w:tcPr>
            <w:tcW w:type="dxa" w:w="85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Correo entrante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Reenvía @dominio a la bandeja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Email Routing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9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DNS</w:t>
            </w:r>
          </w:p>
        </w:tc>
        <w:tc>
          <w:tcPr>
            <w:tcW w:type="dxa" w:w="283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Resuelve el dominio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DNS</w:t>
            </w:r>
          </w:p>
        </w:tc>
        <w:tc>
          <w:tcPr>
            <w:tcW w:type="dxa" w:w="85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Repositorio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Fuente de verdad + respaldo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GitHub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5. Interfaces y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90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515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36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1</w:t>
            </w:r>
          </w:p>
        </w:tc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/api/contacto</w:t>
            </w:r>
          </w:p>
        </w:tc>
        <w:tc>
          <w:tcPr>
            <w:tcW w:type="dxa" w:w="90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POST</w:t>
            </w:r>
          </w:p>
        </w:tc>
        <w:tc>
          <w:tcPr>
            <w:tcW w:type="dxa" w:w="351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Recibe el formulario, valida Turnstile y envía correo</w:t>
            </w:r>
          </w:p>
        </w:tc>
        <w:tc>
          <w:tcPr>
            <w:tcW w:type="dxa" w:w="136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Turnstile token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/oauth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Inicia el login del CMS con GitHub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—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3</w:t>
            </w:r>
          </w:p>
        </w:tc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/callback</w:t>
            </w:r>
          </w:p>
        </w:tc>
        <w:tc>
          <w:tcPr>
            <w:tcW w:type="dxa" w:w="90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GET</w:t>
            </w:r>
          </w:p>
        </w:tc>
        <w:tc>
          <w:tcPr>
            <w:tcW w:type="dxa" w:w="351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Recibe el código OAuth y emite el token al CMS</w:t>
            </w:r>
          </w:p>
        </w:tc>
        <w:tc>
          <w:tcPr>
            <w:tcW w:type="dxa" w:w="136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GitHub OAuth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/admin/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SPA del CMS (Decap/Sveltia)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Sesión GitHub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5</w:t>
            </w:r>
          </w:p>
        </w:tc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/rss.xml</w:t>
            </w:r>
          </w:p>
        </w:tc>
        <w:tc>
          <w:tcPr>
            <w:tcW w:type="dxa" w:w="90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GET</w:t>
            </w:r>
          </w:p>
        </w:tc>
        <w:tc>
          <w:tcPr>
            <w:tcW w:type="dxa" w:w="351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Feed del blog</w:t>
            </w:r>
          </w:p>
        </w:tc>
        <w:tc>
          <w:tcPr>
            <w:tcW w:type="dxa" w:w="136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—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9BA0A8"/>
          <w:sz w:val="18"/>
        </w:rPr>
        <w:t>Integraciones externas: GitHub API (commits del CMS) y Resend/Brevo API (envío del formulario).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6. Dependencias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60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Paquete / Servicio</w:t>
            </w:r>
          </w:p>
        </w:tc>
        <w:tc>
          <w:tcPr>
            <w:tcW w:type="dxa" w:w="340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147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Licencia / Plan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1</w:t>
            </w:r>
          </w:p>
        </w:tc>
        <w:tc>
          <w:tcPr>
            <w:tcW w:type="dxa" w:w="260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astro ^7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Framework del sitio</w:t>
            </w:r>
          </w:p>
        </w:tc>
        <w:tc>
          <w:tcPr>
            <w:tcW w:type="dxa" w:w="147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MIT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2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@astrojs/mdx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Artículos en Markdown/MDX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MIT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3</w:t>
            </w:r>
          </w:p>
        </w:tc>
        <w:tc>
          <w:tcPr>
            <w:tcW w:type="dxa" w:w="260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@astrojs/sitemap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Sitemap para SEO</w:t>
            </w:r>
          </w:p>
        </w:tc>
        <w:tc>
          <w:tcPr>
            <w:tcW w:type="dxa" w:w="147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MIT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4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@astrojs/rss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Feed RSS del blog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MIT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5</w:t>
            </w:r>
          </w:p>
        </w:tc>
        <w:tc>
          <w:tcPr>
            <w:tcW w:type="dxa" w:w="260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sharp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Optimización de imágenes</w:t>
            </w:r>
          </w:p>
        </w:tc>
        <w:tc>
          <w:tcPr>
            <w:tcW w:type="dxa" w:w="147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Apache-2.0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6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Decap / Sveltia CMS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CMS del blog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MIT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7</w:t>
            </w:r>
          </w:p>
        </w:tc>
        <w:tc>
          <w:tcPr>
            <w:tcW w:type="dxa" w:w="260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(Pages/Workers/Email/Turnstile)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Hosting, serverless, correo, anti-spam</w:t>
            </w:r>
          </w:p>
        </w:tc>
        <w:tc>
          <w:tcPr>
            <w:tcW w:type="dxa" w:w="147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8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Resend / Brevo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Envío transaccional del formulario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7. Despliegue e Infraestructura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7.1 Requisitos de Entorno (variables)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9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06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58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Dónde</w:t>
            </w:r>
          </w:p>
        </w:tc>
        <w:tc>
          <w:tcPr>
            <w:tcW w:type="dxa" w:w="79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Req.</w:t>
            </w:r>
          </w:p>
        </w:tc>
      </w:tr>
      <w:tr>
        <w:tc>
          <w:tcPr>
            <w:tcW w:type="dxa" w:w="249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GITHUB_OAUTH_CLIENT_ID</w:t>
            </w:r>
          </w:p>
        </w:tc>
        <w:tc>
          <w:tcPr>
            <w:tcW w:type="dxa" w:w="306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ID de la OAuth App del CMS</w:t>
            </w:r>
          </w:p>
        </w:tc>
        <w:tc>
          <w:tcPr>
            <w:tcW w:type="dxa" w:w="158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Worker OAuth</w:t>
            </w:r>
          </w:p>
        </w:tc>
        <w:tc>
          <w:tcPr>
            <w:tcW w:type="dxa" w:w="79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GITHUB_OAUTH_CLIENT_SECRET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Secret de la OAuth App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Worker (secreto)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</w:tr>
      <w:tr>
        <w:tc>
          <w:tcPr>
            <w:tcW w:type="dxa" w:w="249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RESEND_API_KEY</w:t>
            </w:r>
          </w:p>
        </w:tc>
        <w:tc>
          <w:tcPr>
            <w:tcW w:type="dxa" w:w="306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Clave para enviar el correo del formulario</w:t>
            </w:r>
          </w:p>
        </w:tc>
        <w:tc>
          <w:tcPr>
            <w:tcW w:type="dxa" w:w="158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Pages Fn (secreto)</w:t>
            </w:r>
          </w:p>
        </w:tc>
        <w:tc>
          <w:tcPr>
            <w:tcW w:type="dxa" w:w="79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TURNSTILE_SECRET_KEY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Verificación anti-spam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Pages Fn (secreto)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</w:tr>
      <w:tr>
        <w:tc>
          <w:tcPr>
            <w:tcW w:type="dxa" w:w="249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CONTACT_TO_EMAIL</w:t>
            </w:r>
          </w:p>
        </w:tc>
        <w:tc>
          <w:tcPr>
            <w:tcW w:type="dxa" w:w="306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Bandeja destino de las consultas</w:t>
            </w:r>
          </w:p>
        </w:tc>
        <w:tc>
          <w:tcPr>
            <w:tcW w:type="dxa" w:w="158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Pages Fn</w:t>
            </w:r>
          </w:p>
        </w:tc>
        <w:tc>
          <w:tcPr>
            <w:tcW w:type="dxa" w:w="79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7.2 Proceso de Despliegue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Conectar el repo a Cloudflare Pages (build: pnpm build, salida: dist/, Node 22).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Ajustar astro.config.mjs: base '/' y site con el dominio real (hoy usa /web.omnimind).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Configurar variables/secretos en Pages y en el Worker OAuth.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Crear la GitHub OAuth App y desplegar el Worker OAuth proxy.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Migrar el dominio a Cloudflare y apuntar Pages al dominio raíz (ver runbook).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Activar Email Routing (contacto@dominio → bandeja) y registros SPF/DKIM.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Retirar el workflow de GitHub Pages; Cloudflare Pages despliega en cada push a main.</w:t>
      </w:r>
    </w:p>
    <w:p>
      <w:pPr>
        <w:spacing w:after="80"/>
      </w:pPr>
      <w:r>
        <w:rPr>
          <w:rFonts w:ascii="Calibri" w:hAnsi="Calibri"/>
          <w:b w:val="0"/>
          <w:i/>
          <w:color w:val="9BA0A8"/>
          <w:sz w:val="18"/>
        </w:rPr>
        <w:t>CI/CD: integración Git de Cloudflare Pages. Cada push a main reconstruye y publica.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8. Consideraciones de Seguridad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Autenticación del CMS: OAuth con GitHub; el client_secret vive solo en el Worker.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Secretos: claves de API y OAuth como secrets de Cloudflare, fuera del repositorio.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Anti-spam: Turnstile + validación en la Pages Function + WAF de Cloudflare.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Correo: SPF y DKIM obligatorios (Cloudflare los exige desde julio 2025); DMARC recomendado.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Transporte: HTTPS forzado y certificado gestionado por Cloudflare.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Superficie mínima: sin servidor ni base de datos que endurecer o parchear.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9. Historial de Revisiones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1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70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25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>
        <w:tc>
          <w:tcPr>
            <w:tcW w:type="dxa" w:w="85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1.0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Julio 2026</w:t>
            </w:r>
          </w:p>
        </w:tc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Copal Inc</w:t>
            </w:r>
          </w:p>
        </w:tc>
        <w:tc>
          <w:tcPr>
            <w:tcW w:type="dxa" w:w="425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Versión inicial: arquitectura, migración y despliegue.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Firmas y Aprobaciones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El presente documento ha sido elaborado, revisado y aprobado por los responsables indicados a continuación.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11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6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41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Elaboró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Revisó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Aprobó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7370"/>
        </w:tcPr>
        <w:p>
          <w:pPr>
            <w:jc w:val="left"/>
          </w:pPr>
          <w:r>
            <w:rPr>
              <w:rFonts w:ascii="Calibri" w:hAnsi="Calibri"/>
              <w:color w:val="9BA0A8"/>
              <w:sz w:val="14"/>
            </w:rPr>
            <w:t>Copal Inc  —  CONFIDENCIAL</w:t>
          </w:r>
        </w:p>
      </w:tc>
      <w:tc>
        <w:tcPr>
          <w:tcW w:type="dxa" w:w="1990"/>
        </w:tcPr>
        <w:p>
          <w:pPr>
            <w:jc w:val="right"/>
          </w:pPr>
          <w:r>
            <w:rPr>
              <w:rFonts w:ascii="Calibri" w:hAnsi="Calibri"/>
              <w:color w:val="9BA0A8"/>
              <w:sz w:val="14"/>
            </w:rPr>
            <w:t xml:space="preserve">Página </w:t>
            <w:fldChar w:fldCharType="begin"/>
            <w:instrText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7370"/>
          <w:shd w:val="clear" w:color="auto" w:fill="0F141B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92420" cy="19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opa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20" cy="19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rPr>
              <w:rFonts w:ascii="Calibri" w:hAnsi="Calibri"/>
              <w:b/>
              <w:color w:val="FFFFFF"/>
              <w:sz w:val="18"/>
            </w:rPr>
            <w:t xml:space="preserve">Documentación Técnica  </w:t>
          </w:r>
          <w:r>
            <w:rPr>
              <w:rFonts w:ascii="Calibri" w:hAnsi="Calibri"/>
              <w:b w:val="0"/>
              <w:color w:val="9BA0A8"/>
              <w:sz w:val="14"/>
            </w:rPr>
            <w:t>DOC-OMNI-001 · v1.0 · Julio 2026</w:t>
          </w:r>
        </w:p>
      </w:tc>
      <w:tc>
        <w:tcPr>
          <w:tcW w:type="dxa" w:w="1990"/>
          <w:shd w:val="clear" w:color="auto" w:fill="7A4A2E"/>
          <w:vAlign w:val="center"/>
        </w:tcPr>
        <w:p>
          <w:pPr>
            <w:jc w:val="center"/>
          </w:pPr>
          <w:r>
            <w:rPr>
              <w:rFonts w:ascii="Calibri" w:hAnsi="Calibri"/>
              <w:b/>
              <w:color w:val="FFFFFF"/>
              <w:sz w:val="13"/>
            </w:rPr>
            <w:t>CONFIDENCIAL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