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39650" cy="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al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9650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3A7A52"/>
          <w:sz w:val="24"/>
        </w:rPr>
        <w:t>Copal Inc</w:t>
      </w:r>
    </w:p>
    <w:p>
      <w:pPr>
        <w:spacing w:before="400"/>
      </w:pPr>
      <w:r>
        <w:rPr>
          <w:rFonts w:ascii="Calibri" w:hAnsi="Calibri"/>
          <w:b/>
          <w:i w:val="0"/>
          <w:color w:val="0F141B"/>
          <w:sz w:val="40"/>
        </w:rPr>
        <w:t>Runbook — Migración del Dominio</w:t>
      </w:r>
    </w:p>
    <w:p>
      <w:r>
        <w:rPr>
          <w:rFonts w:ascii="Calibri" w:hAnsi="Calibri"/>
          <w:b w:val="0"/>
          <w:i w:val="0"/>
          <w:color w:val="7A4A2E"/>
          <w:sz w:val="26"/>
        </w:rPr>
        <w:t>De WordPress a Cloudflare (DNS, Pages, correo, transferencia)</w:t>
      </w:r>
    </w:p>
    <w:p>
      <w:pPr>
        <w:spacing w:before="80"/>
      </w:pPr>
      <w:r>
        <w:rPr>
          <w:rFonts w:ascii="Calibri" w:hAnsi="Calibri"/>
          <w:b w:val="0"/>
          <w:i w:val="0"/>
          <w:color w:val="3A7A52"/>
          <w:sz w:val="22"/>
        </w:rPr>
        <w:t>Omnimind — Sitio Web Corporativo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Proyecto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Omnimind — Sitio Web Corporativo</w:t>
            </w:r>
          </w:p>
        </w:tc>
      </w:tr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Versión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1.0</w:t>
            </w:r>
          </w:p>
        </w:tc>
      </w:tr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Fecha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Julio 2026</w:t>
            </w:r>
          </w:p>
        </w:tc>
      </w:tr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Autor / Equipo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Copal Inc</w:t>
            </w:r>
          </w:p>
        </w:tc>
      </w:tr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Estado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[Borrador / En revisión / Aprobado]</w:t>
            </w:r>
          </w:p>
        </w:tc>
      </w:tr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Confidencialidad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CONFIDENCIAL</w:t>
            </w:r>
          </w:p>
        </w:tc>
      </w:tr>
    </w:tbl>
    <w:p/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0. Dos Opciones (no son lo mismo)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Cambiar el DNS (apuntar nameservers a Cloudflare) es distinto de transferir el registro del dominio a Cloudflare Registrar.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3402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 — Solo cambiar DNS</w:t>
            </w:r>
          </w:p>
        </w:tc>
        <w:tc>
          <w:tcPr>
            <w:tcW w:type="dxa" w:w="3402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 — Transferir el registro</w:t>
            </w:r>
          </w:p>
        </w:tc>
      </w:tr>
      <w:tr>
        <w:tc>
          <w:tcPr>
            <w:tcW w:type="dxa" w:w="170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Qué mueves</w:t>
            </w:r>
          </w:p>
        </w:tc>
        <w:tc>
          <w:tcPr>
            <w:tcW w:type="dxa" w:w="340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Nameservers a Cloudflare</w:t>
            </w:r>
          </w:p>
        </w:tc>
        <w:tc>
          <w:tcPr>
            <w:tcW w:type="dxa" w:w="340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El registro a Cloudflare Registrar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Renovación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Sigue en WordPress.com (~$18–25 USD)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En Cloudflare, a costo (~$11 USD .com)</w:t>
            </w:r>
          </w:p>
        </w:tc>
      </w:tr>
      <w:tr>
        <w:tc>
          <w:tcPr>
            <w:tcW w:type="dxa" w:w="170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Tiempo</w:t>
            </w:r>
          </w:p>
        </w:tc>
        <w:tc>
          <w:tcPr>
            <w:tcW w:type="dxa" w:w="340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Minutos</w:t>
            </w:r>
          </w:p>
        </w:tc>
        <w:tc>
          <w:tcPr>
            <w:tcW w:type="dxa" w:w="340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5–7 días (proceso ICANN)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Recomendado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Para arrancar ya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Sí, para bajar el costo anual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/>
          <w:color w:val="9BA0A8"/>
          <w:sz w:val="18"/>
        </w:rPr>
        <w:t>Recomendación: primero Opción A (publicar ya), luego Opción B (bajar costo). Requisito de la Opción B: dominio con &gt;60 días desde su registro (regla ICANN).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1. Preparación (en WordPress.com)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Iniciar sesión en WordPress.com → Upgrades → Domains y seleccionar el dominio.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Desbloquear el dominio (Transfer lock → off).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Desactivar DNSSEC si está activo (evita fallas de resolución al cambiar nameservers).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Verificar que el correo del registrante es válido: ahí llega el código EPP.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Anotar todos los registros DNS actuales (A, CNAME, MX, TXT/SPF) antes de mover nada.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2. Opción A — Apuntar Nameservers a Cloudflare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Crear cuenta en Cloudflare → Add a site → escribir el dominio → plan Free.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Revisar que Cloudflare importó todos los registros (sobre todo MX y TXT/SPF del correo).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Copiar los dos nameservers que muestra Cloudflare.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En WordPress.com → Domains → Name Servers: usar custom name servers y pegar los de Cloudflare.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En Cloudflare, pulsar 'Check nameservers' (propaga en minutos, hasta 24 h).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3. Conectar el Dominio a Cloudflare Pages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En Cloudflare Pages → Custom domains → Set up a domain.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Añadir el dominio raíz y www; Cloudflare crea los registros automáticamente.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Esperar la emisión del certificado SSL (automático).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Validar que el sitio Astro carga y que el base ya es '/'.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4. Configurar el Correo (Email Routing)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En Cloudflare → Email → Email Routing: activar (agrega MX y SPF).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Crear la regla contacto@dominio → reenviar a la bandeja real y verificarla.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Para enviar como @dominio: Gmail 'Enviar como' + relay SMTP, o buzón Zoho.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Publicar DMARC (_dmarc TXT) recomendado.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5. Opción B — Transferir el Registro (ahorro)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Hacerlo después de que el DNS ya vive en Cloudflare y de cumplir los 60 días.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En WordPress.com: confirmar dominio desbloqueado y solicitar el código EPP.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En Cloudflare → Registrar → Transfer Domains: ingresar el EPP y pagar 1 año (a costo).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Aprobar el correo de confirmación; el proceso tarda 5–7 días sin interrumpir el sitio.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Al completarse, activar Auto-renew y, si se desea, DNSSEC.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6. Verificación Final (checklist)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Sitio carga en dominio raíz y www con SSL.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El blog publica al hacer commit desde el CMS.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El formulario /api/contacto envía y la consulta llega a la bandeja.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contacto@dominio recibe y reenvía correctamente.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SPF/DKIM/DMARC verdes.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(Opción B) Registro en Cloudflare con auto-renovación.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Retirado el deploy de GitHub Pages.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7. Rollback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Mientras el registro siga en WordPress.com (Opción A), revertir es tan simple como volver a poner los nameservers de WordPress.com. Por eso conviene no transferir el registro (Opción B) hasta validar que todo funciona en Cloudflare.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Firmas y Aprobaciones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El presente documento ha sido elaborado, revisado y aprobado por los responsables indicados a continuación.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118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268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Firma</w:t>
            </w:r>
          </w:p>
        </w:tc>
        <w:tc>
          <w:tcPr>
            <w:tcW w:type="dxa" w:w="1417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170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Elaboró</w:t>
            </w:r>
          </w:p>
        </w:tc>
        <w:tc>
          <w:tcPr>
            <w:tcW w:type="dxa" w:w="311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[Nombre]</w:t>
            </w:r>
          </w:p>
        </w:tc>
        <w:tc>
          <w:tcPr>
            <w:tcW w:type="dxa" w:w="226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</w:r>
          </w:p>
        </w:tc>
        <w:tc>
          <w:tcPr>
            <w:tcW w:type="dxa" w:w="141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[Fecha]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Revisó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[Nombre]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[Fecha]</w:t>
            </w:r>
          </w:p>
        </w:tc>
      </w:tr>
      <w:tr>
        <w:tc>
          <w:tcPr>
            <w:tcW w:type="dxa" w:w="170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Aprobó</w:t>
            </w:r>
          </w:p>
        </w:tc>
        <w:tc>
          <w:tcPr>
            <w:tcW w:type="dxa" w:w="311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[Nombre]</w:t>
            </w:r>
          </w:p>
        </w:tc>
        <w:tc>
          <w:tcPr>
            <w:tcW w:type="dxa" w:w="226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</w:r>
          </w:p>
        </w:tc>
        <w:tc>
          <w:tcPr>
            <w:tcW w:type="dxa" w:w="141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[Fecha]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7370"/>
        </w:tcPr>
        <w:p>
          <w:pPr>
            <w:jc w:val="left"/>
          </w:pPr>
          <w:r>
            <w:rPr>
              <w:rFonts w:ascii="Calibri" w:hAnsi="Calibri"/>
              <w:color w:val="9BA0A8"/>
              <w:sz w:val="14"/>
            </w:rPr>
            <w:t>Copal Inc  —  CONFIDENCIAL</w:t>
          </w:r>
        </w:p>
      </w:tc>
      <w:tc>
        <w:tcPr>
          <w:tcW w:type="dxa" w:w="1990"/>
        </w:tcPr>
        <w:p>
          <w:pPr>
            <w:jc w:val="right"/>
          </w:pPr>
          <w:r>
            <w:rPr>
              <w:rFonts w:ascii="Calibri" w:hAnsi="Calibri"/>
              <w:color w:val="9BA0A8"/>
              <w:sz w:val="14"/>
            </w:rPr>
            <w:t xml:space="preserve">Página </w:t>
            <w:fldChar w:fldCharType="begin"/>
            <w:instrText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Style w:val="TableGrid"/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7370"/>
          <w:shd w:val="clear" w:color="auto" w:fill="0F141B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92420" cy="19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opal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20" cy="19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>   </w:t>
          </w:r>
          <w:r>
            <w:rPr>
              <w:rFonts w:ascii="Calibri" w:hAnsi="Calibri"/>
              <w:b/>
              <w:color w:val="FFFFFF"/>
              <w:sz w:val="18"/>
            </w:rPr>
            <w:t xml:space="preserve">Runbook — Migración  </w:t>
          </w:r>
          <w:r>
            <w:rPr>
              <w:rFonts w:ascii="Calibri" w:hAnsi="Calibri"/>
              <w:b w:val="0"/>
              <w:color w:val="9BA0A8"/>
              <w:sz w:val="14"/>
            </w:rPr>
            <w:t>RUN-OMNI-001 · v1.0 · Julio 2026</w:t>
          </w:r>
        </w:p>
      </w:tc>
      <w:tc>
        <w:tcPr>
          <w:tcW w:type="dxa" w:w="1990"/>
          <w:shd w:val="clear" w:color="auto" w:fill="7A4A2E"/>
          <w:vAlign w:val="center"/>
        </w:tcPr>
        <w:p>
          <w:pPr>
            <w:jc w:val="center"/>
          </w:pPr>
          <w:r>
            <w:rPr>
              <w:rFonts w:ascii="Calibri" w:hAnsi="Calibri"/>
              <w:b/>
              <w:color w:val="FFFFFF"/>
              <w:sz w:val="13"/>
            </w:rPr>
            <w:t>CONFIDENCIAL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