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ExcelQuest: Modelo de Negocio Integral (Lean Canvas &amp; EdTech Strategy)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Eslogan Oficial Seleccionado:</w:t>
      </w:r>
      <w:r w:rsidDel="00000000" w:rsidR="00000000" w:rsidRPr="00000000">
        <w:rPr>
          <w:rtl w:val="0"/>
        </w:rPr>
        <w:t xml:space="preserve"> "Domina Excel y Finanzas nivel por nivel."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 Ejecutivo del Giro del Negocio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ExcelQuest se posiciona en el sector de la </w:t>
      </w:r>
      <w:r w:rsidDel="00000000" w:rsidR="00000000" w:rsidRPr="00000000">
        <w:rPr>
          <w:b w:val="1"/>
          <w:bCs w:val="1"/>
          <w:rtl w:val="0"/>
        </w:rPr>
        <w:t xml:space="preserve">Tecnología Educativa (EdTech)</w:t>
      </w:r>
      <w:r w:rsidDel="00000000" w:rsidR="00000000" w:rsidRPr="00000000">
        <w:rPr>
          <w:rtl w:val="0"/>
        </w:rPr>
        <w:t xml:space="preserve">, específicamente en el nicho de la capacitación corporativa y el desarrollo de habilidades blandas/duras (Upskilling) mediante mecánicas avanzadas de gamificación. A diferencia de las plataformas de e-learning tradicionales (estructuradas en video-tutoriales pasivos), ExcelQuest funciona como un ecosistema interactivo donde el código de aprendizaje está embebido en el bucle de juego (Gameplay Loop).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r>
    </w:p>
    <w:tbl>
      <w:tblPr>
        <w:tblStyle w:val="Table1"/>
        <w:tblW w:w="9360.0" w:type="dxa"/>
        <w:jc w:val="left"/>
        <w:tblBorders>
          <w:top w:color="a0a0a0" w:space="0" w:sz="8" w:val="single"/>
          <w:left w:color="a0a0a0" w:space="0" w:sz="8" w:val="single"/>
          <w:bottom w:color="a0a0a0" w:space="0" w:sz="8" w:val="single"/>
          <w:right w:color="a0a0a0" w:space="0" w:sz="8" w:val="single"/>
          <w:insideH w:color="a0a0a0" w:space="0" w:sz="8" w:val="single"/>
          <w:insideV w:color="a0a0a0" w:space="0" w:sz="8" w:val="single"/>
        </w:tblBorders>
        <w:tblLayout w:type="fixed"/>
        <w:tblLook w:val="0600"/>
      </w:tblPr>
      <w:tblGrid>
        <w:gridCol w:w="2340"/>
        <w:gridCol w:w="7020"/>
        <w:tblGridChange w:id="0">
          <w:tblGrid>
            <w:gridCol w:w="2340"/>
            <w:gridCol w:w="7020"/>
          </w:tblGrid>
        </w:tblGridChange>
      </w:tblGrid>
      <w:tr>
        <w:trPr>
          <w:cantSplit w:val="0"/>
          <w:tblHeader w:val="1"/>
        </w:trPr>
        <w:tc>
          <w:tcPr>
            <w:shd w:fill="auto"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Detalle Estratégico para ExcelQuest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 Problema</w:t>
            </w:r>
          </w:p>
        </w:tc>
        <w:tc>
          <w:tcPr>
            <w:shd w:fill="auto" w:val="clear"/>
            <w:tcMar>
              <w:top w:w="150.0" w:type="dxa"/>
              <w:left w:w="150.0" w:type="dxa"/>
              <w:bottom w:w="150.0" w:type="dxa"/>
              <w:right w:w="150.0" w:type="dxa"/>
            </w:tcMar>
            <w:vAlign w:val="top"/>
          </w:tcPr>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Curva de frustración alta:</w:t>
            </w:r>
            <w:r w:rsidDel="00000000" w:rsidR="00000000" w:rsidRPr="00000000">
              <w:rPr>
                <w:rtl w:val="0"/>
              </w:rPr>
              <w:t xml:space="preserve"> Cursos extensos, densos y puramente teóricos.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Falta de adherencia:</w:t>
            </w:r>
            <w:r w:rsidDel="00000000" w:rsidR="00000000" w:rsidRPr="00000000">
              <w:rPr>
                <w:rtl w:val="0"/>
              </w:rPr>
              <w:t xml:space="preserve"> Abandono prematuro por falta de incentivos inmediatos.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Brecha aplicativa:</w:t>
            </w:r>
            <w:r w:rsidDel="00000000" w:rsidR="00000000" w:rsidRPr="00000000">
              <w:rPr>
                <w:rtl w:val="0"/>
              </w:rPr>
              <w:t xml:space="preserve"> Incapacidad de trasladar fórmulas abstractas a la resolución de problemas financieros reales.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 Solución</w:t>
            </w:r>
          </w:p>
        </w:tc>
        <w:tc>
          <w:tcPr>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aplicación móvil y web nativa que fragmenta el conocimiento en microdosis (Microlearning) a través de misiones de rol (RPG), donde escribir una fórmula correcta de Excel (ej. BUSCARV o SI conjunto) equivale a derrotar a un jefe o balancear un presupuesto del juego.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Propuesta de Valor</w:t>
            </w:r>
          </w:p>
        </w:tc>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Transformar la capacitación técnica en un videojuego móvil de alta retención, permitiendo a los usuarios certificar habilidades clave de empleabilidad mientras juegan 10 minutos al día.</w:t>
            </w:r>
          </w:p>
        </w:tc>
      </w:tr>
    </w:tbl>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Estructura Lean Canvas Detallada</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Segmentación Avanzada de Clientes y Early Adopters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maximizar la eficiencia del presupuesto de marketing digital, la estrategia de adquisición se dividirá de forma quirúrgica:</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Clientes Primarios (B2C):</w:t>
      </w:r>
      <w:r w:rsidDel="00000000" w:rsidR="00000000" w:rsidRPr="00000000">
        <w:rPr>
          <w:rtl w:val="0"/>
        </w:rPr>
        <w:t xml:space="preserve"> Estudiantes universitarios de facultades de Ciencias Económicas, Administración y Marketing; jóvenes profesionales atrapados en tareas manuales operativas (analistas junior); y microemprendedores que gestionan su caja chica de manera empírica.</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Early Adopters Clave:</w:t>
      </w:r>
      <w:r w:rsidDel="00000000" w:rsidR="00000000" w:rsidRPr="00000000">
        <w:rPr>
          <w:rtl w:val="0"/>
        </w:rPr>
        <w:t xml:space="preserve"> Estudiantes de los últimos semestres universitarios que buscan activamente prácticas pre-profesionales y han sido rechazados en procesos de selección por "nivel de Excel insuficiente". Este grupo sufre un dolor inmediato y buscará soluciones de conversión rápida.</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Clientes Secundarios (B2B/B2B2C):</w:t>
      </w:r>
      <w:r w:rsidDel="00000000" w:rsidR="00000000" w:rsidRPr="00000000">
        <w:rPr>
          <w:rtl w:val="0"/>
        </w:rPr>
        <w:t xml:space="preserve"> Directores de Recursos Humanos y Capacitación en empresas medianas, así como decanos de universidades que buscan ofrecer herramientas complementarias de nivelación a sus alumnos.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Canales Estratégicos de Distribución</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Inbound Marketing Orgánico (TikTok/Reels/Shorts):</w:t>
      </w:r>
      <w:r w:rsidDel="00000000" w:rsidR="00000000" w:rsidRPr="00000000">
        <w:rPr>
          <w:rtl w:val="0"/>
        </w:rPr>
        <w:t xml:space="preserve"> Creación de contenido viral basado en "El error de Excel que casi me cuesta el empleo" o "Cómo automatizar tu presupuesto en 30 segundos", redirigiendo masivamente a la descarga de la App.</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B2B Partnerships / Convenios Universitarios:</w:t>
      </w:r>
      <w:r w:rsidDel="00000000" w:rsidR="00000000" w:rsidRPr="00000000">
        <w:rPr>
          <w:rtl w:val="0"/>
        </w:rPr>
        <w:t xml:space="preserve"> Alianzas con asociaciones estudiantiles para ofrecer licencias piloto gratuitas, recolectar testimonios y generar tracción de marca.</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LinkedIn Growth Marketing:</w:t>
      </w:r>
      <w:r w:rsidDel="00000000" w:rsidR="00000000" w:rsidRPr="00000000">
        <w:rPr>
          <w:rtl w:val="0"/>
        </w:rPr>
        <w:t xml:space="preserve"> Contenido enfocado en la pérdida de productividad de las empresas debido al analfabetismo financiero y de hojas de cálculo de su personal.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Arquitectura del Modelo de Monetización (Flujos de Ingresos)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El modelo se sustenta sobre un ecosistema híbrido diseñado para optimizar el Valor del Ciclo de Vida del Cliente (LTV) y minimizar el Costo de Adquisición (CAC).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r>
    </w:p>
    <w:tbl>
      <w:tblPr>
        <w:tblStyle w:val="Table2"/>
        <w:tblW w:w="9360.0" w:type="dxa"/>
        <w:jc w:val="left"/>
        <w:tblBorders>
          <w:top w:color="a0a0a0" w:space="0" w:sz="8" w:val="single"/>
          <w:left w:color="a0a0a0" w:space="0" w:sz="8" w:val="single"/>
          <w:bottom w:color="a0a0a0" w:space="0" w:sz="8" w:val="single"/>
          <w:right w:color="a0a0a0" w:space="0" w:sz="8" w:val="single"/>
          <w:insideH w:color="a0a0a0" w:space="0" w:sz="8" w:val="single"/>
          <w:insideV w:color="a0a0a0" w:space="0" w:sz="8" w:val="single"/>
        </w:tblBorders>
        <w:tblLayout w:type="fixed"/>
        <w:tblLook w:val="0600"/>
      </w:tblPr>
      <w:tblGrid>
        <w:gridCol w:w="1872"/>
        <w:gridCol w:w="4680"/>
        <w:gridCol w:w="2808"/>
        <w:tblGridChange w:id="0">
          <w:tblGrid>
            <w:gridCol w:w="1872"/>
            <w:gridCol w:w="4680"/>
            <w:gridCol w:w="2808"/>
          </w:tblGrid>
        </w:tblGridChange>
      </w:tblGrid>
      <w:tr>
        <w:trPr>
          <w:cantSplit w:val="0"/>
          <w:tblHeader w:val="1"/>
        </w:trPr>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Línea de Negocio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Alcance y Características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Estrategia de Conversión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Plan Gratuito (Ad-Supported)</w:t>
            </w:r>
          </w:p>
        </w:tc>
        <w:tc>
          <w:tcPr>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Acceso exclusivo al "Mundo 1" (Fundamentos de hojas de cálculo y finanzas básicas). Cuenta con un sistema limitado de vidas (corazones) que se agotan con las respuestas incorrectas. Monetización vía anuncios intersticiales recompensados.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Gancho de retención. Actúa como el embudo principal de usuarios hacia los planes de pago.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Plan Premium (Suscripción)</w:t>
            </w:r>
          </w:p>
        </w:tc>
        <w:tc>
          <w:tcPr>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Vidas ilimitadas, desbloqueo de todos los mundos avanzados (Macros, Power Query, Modelado Financiero), descargas de plantillas reales automatizadas, acceso al simulador de interfaces y soporte de IA para corregir fórmulas erróneas.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Suscripción mensual, semestral o anual con descuentos agresivos por permanencia.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Certificaciones Verificables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Emisión de credenciales en Blockchain o enlazables directamente a perfiles de LinkedIn al superar los exámenes finales de cada ruta de aprendizaje.</w:t>
            </w:r>
          </w:p>
        </w:tc>
        <w:tc>
          <w:tcPr>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Micropago único para usuarios gratuitos o incluido por defecto en el Plan Premium.</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Plan Corporativo (B2B SaaS)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Dashboard de administración para empresas, donde RRHH puede asignar misiones específicas del negocio a sus empleados, monitorear tasas de completitud, evaluar el nivel técnico del equipo en tiempo real y emitir reportes de desempeño.</w:t>
            </w:r>
          </w:p>
        </w:tc>
        <w:tc>
          <w:tcPr>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Contratos anuales basados en volumen de licencias activas (Seat-based pricing).</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Operación y Ejecución: Actividades, Recursos y Costos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Actividades Clave</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Ingeniería y Desarrollo Web/Mobile:</w:t>
      </w:r>
      <w:r w:rsidDel="00000000" w:rsidR="00000000" w:rsidRPr="00000000">
        <w:rPr>
          <w:rtl w:val="0"/>
        </w:rPr>
        <w:t xml:space="preserve"> Mantenimiento de la infraestructura en la nube, optimización de la velocidad de carga de la app y desarrollo del simulador nativo de celdas de Excel dentro de la interfaz móvil.</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Diseño de Contenidos y Mecánicas de Juego (Game Design):</w:t>
      </w:r>
      <w:r w:rsidDel="00000000" w:rsidR="00000000" w:rsidRPr="00000000">
        <w:rPr>
          <w:rtl w:val="0"/>
        </w:rPr>
        <w:t xml:space="preserve"> Traducción de la teoría financiera y las fórmulas lógicas a narrativas de juego dinámicas, misiones diarias, eventos de temporada y tablas de clasificación en vivo.</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Optimización de Conversión (Growth Hacking):</w:t>
      </w:r>
      <w:r w:rsidDel="00000000" w:rsidR="00000000" w:rsidRPr="00000000">
        <w:rPr>
          <w:rtl w:val="0"/>
        </w:rPr>
        <w:t xml:space="preserve"> Análisis continuo de las métricas de abandono dentro de las lecciones para ajustar el nivel de dificultad y evitar que el usuario se frustre o se aburra.</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Recursos Clave</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Talento Humano:</w:t>
      </w:r>
      <w:r w:rsidDel="00000000" w:rsidR="00000000" w:rsidRPr="00000000">
        <w:rPr>
          <w:rtl w:val="0"/>
        </w:rPr>
        <w:t xml:space="preserve"> Desarrolladores Full-Stack (con experiencia en motores de juego ligeros o frameworks móviles), diseñadores UX/UI especialistas en gamificación, e instructores expertos en Finanzas Corporativas y Microsoft MVP (Most Valuable Professional).</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Infraestructura Tecnológica:</w:t>
      </w:r>
      <w:r w:rsidDel="00000000" w:rsidR="00000000" w:rsidRPr="00000000">
        <w:rPr>
          <w:rtl w:val="0"/>
        </w:rPr>
        <w:t xml:space="preserve"> Servidores escalables en la nube (AWS o Google Cloud) para soportar miles de usuarios concurrentes compitiendo en tiempo real en las tablas de clasificación, y bases de datos para el seguimiento de métricas individuales.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Estructura de Costos Críticos</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Costos Fijos Operativos:</w:t>
      </w:r>
      <w:r w:rsidDel="00000000" w:rsidR="00000000" w:rsidRPr="00000000">
        <w:rPr>
          <w:rtl w:val="0"/>
        </w:rPr>
        <w:t xml:space="preserve"> Salarios del equipo core de desarrollo, licencias de software (IDEs, entornos de diseño, herramientas de analítica), servidores y almacenamiento en la nube.</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Costos Variables:</w:t>
      </w:r>
      <w:r w:rsidDel="00000000" w:rsidR="00000000" w:rsidRPr="00000000">
        <w:rPr>
          <w:rtl w:val="0"/>
        </w:rPr>
        <w:t xml:space="preserve"> Presupuesto de pauta publicitaria digital (Facebook Ads, TikTok Ads), comisiones de las tiendas de aplicaciones (Apple App Store y Google Play Store, que oscilan entre el 15% y el 30% de las transacciones), y costos de pasarelas de pago externas (Stripe, PayPal) para la versión web.</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Ventaja Competitiva e Injusta (Unfair Advantage)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ventaja competitiva de ExcelQuest radica en el desarrollo del </w:t>
      </w:r>
      <w:r w:rsidDel="00000000" w:rsidR="00000000" w:rsidRPr="00000000">
        <w:rPr>
          <w:b w:val="1"/>
          <w:bCs w:val="1"/>
          <w:rtl w:val="0"/>
        </w:rPr>
        <w:t xml:space="preserve">Motor de Simulación Integrado</w:t>
      </w:r>
      <w:r w:rsidDel="00000000" w:rsidR="00000000" w:rsidRPr="00000000">
        <w:rPr>
          <w:rtl w:val="0"/>
        </w:rPr>
        <w:t xml:space="preserve">. Mientras que los competidores tradicionales obligan al usuario a salir de la plataforma educativa para abrir Microsoft Excel o Google Sheets de manera independiente, ExcelQuest emula un entorno interactivo y táctil dentro de la propia aplicación móvil. Esta fricción cero, combinada con un algoritmo de aprendizaje adaptativo que ajusta la complejidad de los retos financieros según el rendimiento previo del estudiante, genera barreras de entrada sumamente difíciles de replicar para las academias tradicionales de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