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40" w:lineRule="auto"/>
      </w:pPr>
      <w:r>
        <w:rPr>
          <w:rFonts w:ascii="Times New Roman" w:hAnsi="Times New Roman"/>
          <w:b/>
          <w:sz w:val="28"/>
        </w:rPr>
        <w:t>Chapter 3 — completion and corrections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Paste-ready text for the sections that are empty, and exact replacements for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the passages that no longer describe what was built. Every figure below was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read out of forenxai_binary/results/ or the running application, not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recalled.</w:t>
      </w:r>
    </w:p>
    <w:p>
      <w:pPr>
        <w:spacing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spacing w:line="240" w:lineRule="auto"/>
      </w:pPr>
    </w:p>
    <w:p>
      <w:pPr>
        <w:spacing w:before="280" w:after="120" w:line="240" w:lineRule="auto"/>
      </w:pPr>
      <w:r>
        <w:rPr>
          <w:rFonts w:ascii="Times New Roman" w:hAnsi="Times New Roman"/>
          <w:b/>
          <w:sz w:val="26"/>
        </w:rPr>
        <w:t>⚠ Read this before anything else: the chapter describes a different study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Section 3.2 as written describes **a seven-class problem trained on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CSE-CIC-IDS2018 and TII-SSRC-23**, with Table 3 listing Benign, Botnet,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Bruteforce, DoS, Infiltration, Info-Gathering and Web Attack.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That is not the study. The pipeline in forenxai_binary ran **two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experiments</w:t>
      </w:r>
      <w:r>
        <w:rPr>
          <w:rFonts w:ascii="Times New Roman" w:hAnsi="Times New Roman"/>
          <w:b/>
          <w:sz w:val="24"/>
        </w:rPr>
        <w:t xml:space="preserve">, and </w:t>
      </w:r>
      <w:r>
        <w:rPr>
          <w:rFonts w:ascii="Times New Roman" w:hAnsi="Times New Roman"/>
          <w:b w:val="0"/>
          <w:sz w:val="24"/>
        </w:rPr>
        <w:t>TRUSTLab — the dataset the deployed model is trained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on — is not mentioned anywhere in the chapter.**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Experiment A (binary)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Experiment B (multiclass)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Scripts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01–07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08–12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Question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does a detector transfer to an unseen network?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which of sixteen attacks is this?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Train 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CSE-CIC-IDS2018, TII-SSRC-23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TRUSTLab, 80%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Test 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TRUSTLab, never trained 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TRUSTLab, held-out 20%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Models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5 architectures × 3 training arms = 15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5 architectures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Headline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mean ROC-AUC 0.4665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accuracy 0.9337, macro F1 0.9287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Ships in the tool?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no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yes — XGBoost</w:t>
            </w:r>
          </w:p>
        </w:tc>
      </w:tr>
    </w:tbl>
    <w:p>
      <w:pPr>
        <w:spacing w:after="120"/>
      </w:pP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The seven-class taxonomy belongs to Experiment A, where every label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 xml:space="preserve">collapses to attack-or-benign anyway. The tool classifies </w:t>
      </w:r>
      <w:r>
        <w:rPr>
          <w:rFonts w:ascii="Times New Roman" w:hAnsi="Times New Roman"/>
          <w:b/>
          <w:sz w:val="24"/>
        </w:rPr>
        <w:t>sixteen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classes: Benign, API, Bruteforce, BufferOverflow, C2Beaconing, DDoS, DNS,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DoS, Evasion, Exfiltration, Exploitation, MITM, PortScan, Slowloris,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TLSSSL, WebBased. Six of those — API, MITM, Evasion, TLSSSL, Exfiltration,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C2Beaconing — exist in no other public dataset, which is why the multiclass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experiment cannot cross datasets and why TRUSTLab is not optional to the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design.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/>
          <w:sz w:val="24"/>
        </w:rPr>
        <w:t>Minimum fix:</w:t>
      </w:r>
      <w:r>
        <w:rPr>
          <w:rFonts w:ascii="Times New Roman" w:hAnsi="Times New Roman"/>
          <w:b w:val="0"/>
          <w:sz w:val="24"/>
        </w:rPr>
        <w:t xml:space="preserve"> add TRUSTLab to §3.2 Datasets, add the sixteen-class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taxonomy, and say in §3.1 that the study runs two experiments with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TRUSTLab in opposite roles. Draft text for all three is in §3.2 below.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**The two scores must never be printed side by side without a sentence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separating them.** The binary models sat an exam on a network they had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never seen; the multiclass models sat one on the network they studied.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Different difficulty, not different engineering quality. A reader — or an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examiner — who sees 0.47 and 0.93 in the same table will draw the wrong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conclusion.</w:t>
      </w:r>
    </w:p>
    <w:p>
      <w:pPr>
        <w:spacing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spacing w:line="240" w:lineRule="auto"/>
      </w:pPr>
    </w:p>
    <w:p>
      <w:pPr>
        <w:spacing w:before="280" w:after="120" w:line="240" w:lineRule="auto"/>
      </w:pPr>
      <w:r>
        <w:rPr>
          <w:rFonts w:ascii="Times New Roman" w:hAnsi="Times New Roman"/>
          <w:b/>
          <w:sz w:val="26"/>
        </w:rPr>
        <w:t>3.1 Research Design — two edits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/>
          <w:sz w:val="24"/>
        </w:rPr>
        <w:t>Delete</w:t>
      </w:r>
      <w:r>
        <w:rPr>
          <w:rFonts w:ascii="Times New Roman" w:hAnsi="Times New Roman"/>
          <w:b w:val="0"/>
          <w:sz w:val="24"/>
        </w:rPr>
        <w:t xml:space="preserve"> the template block beginning *"General Guidelines: Discuss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thoroughly the research methodology…"* and the inline note *"(add GenAI,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indicate, RAG based)"*.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/>
          <w:sz w:val="24"/>
        </w:rPr>
        <w:t>Insert</w:t>
      </w:r>
      <w:r>
        <w:rPr>
          <w:rFonts w:ascii="Times New Roman" w:hAnsi="Times New Roman"/>
          <w:b w:val="0"/>
          <w:sz w:val="24"/>
        </w:rPr>
        <w:t xml:space="preserve"> after the paragraph ending *"…in their post-incident analysis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workflows."*: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study is organised as two complementary experiments rather than one.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first asks whether a detector trained on public benchmark traffic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transfers to a network it has never seen, and is answered by training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fifteen binary detectors on CSE-CIC-IDS2018 and TII-SSRC-23 and scoring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them on TRUSTLab, which none of them was trained on. The second asks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which of sixteen attack classes a flow belongs to, and is answered by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training and testing within TRUSTLab. The same dataset therefore occupies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opposite roles in the two experiments — an unseen examination set in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first, the training environment in the second — and their results are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reported separately throughout, because they measure tasks of different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difficulty.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explanation layer is retrieval-augmented rather than generative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alone. Response guidance shown to the investigator is retrieved from a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curated corpus of standards documents by a deterministic, result-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conditioned retriever, and a locally hosted language model rewrites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retrieved text into prose without contributing any claim of its own. This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arrangement is adopted because a recommendation attributed to a source it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did not come from is more damaging in a forensic setting than no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recommendation at all.</w:t>
      </w:r>
    </w:p>
    <w:p>
      <w:pPr>
        <w:spacing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spacing w:line="240" w:lineRule="auto"/>
      </w:pPr>
    </w:p>
    <w:p>
      <w:pPr>
        <w:spacing w:before="280" w:after="120" w:line="240" w:lineRule="auto"/>
      </w:pPr>
      <w:r>
        <w:rPr>
          <w:rFonts w:ascii="Times New Roman" w:hAnsi="Times New Roman"/>
          <w:b/>
          <w:sz w:val="26"/>
        </w:rPr>
        <w:t>3.2 Research Environment — additions</w:t>
      </w:r>
    </w:p>
    <w:p>
      <w:pPr>
        <w:spacing w:line="240" w:lineRule="auto"/>
      </w:pPr>
    </w:p>
    <w:p>
      <w:pPr>
        <w:spacing w:before="200" w:after="80" w:line="240" w:lineRule="auto"/>
      </w:pPr>
      <w:r>
        <w:rPr>
          <w:rFonts w:ascii="Times New Roman" w:hAnsi="Times New Roman"/>
          <w:b/>
          <w:sz w:val="24"/>
        </w:rPr>
        <w:t>Add to *Datasets*, after the TII-SSRC-23 paragraph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TRUSTLab dataset, introduced by Villafranca, Tasic and Cano (2026),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provides the sixteen-class taxonomy the deployed classifier uses. Each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attack family was captured in an isolated session, which yields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unambiguous labels and supplies six classes absent from both other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datasets: API abuse, MITM, Evasion, TLS/SSL attacks, Exfiltration and C2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Beaconing. It is used in two distinct roles. In the binary experiment it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is held out entirely — never trained on, never split — and serves as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external examination set, capped at 30,000 rows per class across sixteen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classes for 480,000 test rows. In the multiclass experiment it is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training environment, capped at 80,000 rows per attack class and 200,000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for Benign.</w:t>
      </w:r>
    </w:p>
    <w:p>
      <w:pPr>
        <w:spacing w:line="240" w:lineRule="auto"/>
      </w:pPr>
    </w:p>
    <w:p>
      <w:pPr>
        <w:spacing w:before="200" w:after="80" w:line="240" w:lineRule="auto"/>
      </w:pPr>
      <w:r>
        <w:rPr>
          <w:rFonts w:ascii="Times New Roman" w:hAnsi="Times New Roman"/>
          <w:b/>
          <w:sz w:val="24"/>
        </w:rPr>
        <w:t>Add Table 3b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TABLE 3b. Multiclass split, TRUSTLab (seed 42)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Stage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Setting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Rows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Share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Capped pool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MC_PER_CLASS 80,000 · MC_BENIGN_CAP 200,000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1,400,000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→ Test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MC_TEST_FRACTION 0.20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280,000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20%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→ Training pool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remainder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1,120,000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→ Validation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MC_VAL_FRACTION 0.15 of the pool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168,000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12%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→ Final training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remainder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952,000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68%</w:t>
            </w:r>
          </w:p>
        </w:tc>
      </w:tr>
    </w:tbl>
    <w:p>
      <w:pPr>
        <w:spacing w:after="120"/>
      </w:pP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Each of the fifteen attack classes contributes 64,000 training and 16,000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test rows; Benign contributes 160,000 and 40,000.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/>
          <w:sz w:val="24"/>
        </w:rPr>
        <w:t>State the ratio as 68/12/20, not 65/15/20.</w:t>
      </w:r>
      <w:r>
        <w:rPr>
          <w:rFonts w:ascii="Times New Roman" w:hAnsi="Times New Roman"/>
          <w:b w:val="0"/>
          <w:sz w:val="24"/>
        </w:rPr>
        <w:t xml:space="preserve"> The validation fraction is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taken from the remaining 80%, not from the whole. It does not change any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result, but the written figure should be the one the code produces.</w:t>
      </w:r>
    </w:p>
    <w:p>
      <w:pPr>
        <w:spacing w:line="240" w:lineRule="auto"/>
      </w:pPr>
    </w:p>
    <w:p>
      <w:pPr>
        <w:spacing w:before="200" w:after="80" w:line="240" w:lineRule="auto"/>
      </w:pPr>
      <w:r>
        <w:rPr>
          <w:rFonts w:ascii="Times New Roman" w:hAnsi="Times New Roman"/>
          <w:b/>
          <w:sz w:val="24"/>
        </w:rPr>
        <w:t>Add after the feature-alignment paragraph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Alignment across the three datasets reduced the shared feature set to 74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columns, matched by name rather than by position because two of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sources order identically named columns differently. Name matching does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not guarantee equivalent meaning, and two discrepancies were identified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and are reported rather than corrected. Training flows terminate at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extractor's default 120-second timeout, whereas TRUSTLab flows run to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15,716,702,208 microseconds — approximately 4.4 hours — so every timing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feature occupies a different scale, and 21 of the 74 features differ by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more than three training standard deviations. Separately, five features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are constant zero throughout training but reach 1,250,659 in TRUSTLab; a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scaler fitted on a constant cannot rescale them, so they enter the network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unscaled. The cross-dataset results in §3.6 therefore measure genuine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 xml:space="preserve">failure to generalise </w:t>
      </w:r>
      <w:r>
        <w:rPr>
          <w:rFonts w:ascii="Times New Roman" w:hAnsi="Times New Roman"/>
          <w:b/>
          <w:sz w:val="24"/>
        </w:rPr>
        <w:t>together with</w:t>
      </w:r>
      <w:r>
        <w:rPr>
          <w:rFonts w:ascii="Times New Roman" w:hAnsi="Times New Roman"/>
          <w:b w:val="0"/>
          <w:sz w:val="24"/>
        </w:rPr>
        <w:t xml:space="preserve"> feature incompatibility, and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two cannot be separated under this design. This limitation is stated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rather than resolved.</w:t>
      </w:r>
    </w:p>
    <w:p>
      <w:pPr>
        <w:spacing w:line="240" w:lineRule="auto"/>
      </w:pPr>
    </w:p>
    <w:p>
      <w:pPr>
        <w:spacing w:before="200" w:after="80" w:line="240" w:lineRule="auto"/>
      </w:pPr>
      <w:r>
        <w:rPr>
          <w:rFonts w:ascii="Times New Roman" w:hAnsi="Times New Roman"/>
          <w:b/>
          <w:sz w:val="24"/>
        </w:rPr>
        <w:t>One correction to the existing text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 xml:space="preserve">The chapter says CSE-CIC-IDS2018 contains </w:t>
      </w:r>
      <w:r>
        <w:rPr>
          <w:rFonts w:ascii="Times New Roman" w:hAnsi="Times New Roman"/>
          <w:b/>
          <w:sz w:val="24"/>
        </w:rPr>
        <w:t>16,233,002</w:t>
      </w:r>
      <w:r>
        <w:rPr>
          <w:rFonts w:ascii="Times New Roman" w:hAnsi="Times New Roman"/>
          <w:b w:val="0"/>
          <w:sz w:val="24"/>
        </w:rPr>
        <w:t xml:space="preserve"> instances, and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 xml:space="preserve">Table 3 totals it at </w:t>
      </w:r>
      <w:r>
        <w:rPr>
          <w:rFonts w:ascii="Times New Roman" w:hAnsi="Times New Roman"/>
          <w:b/>
          <w:sz w:val="24"/>
        </w:rPr>
        <w:t>16,137,183</w:t>
      </w:r>
      <w:r>
        <w:rPr>
          <w:rFonts w:ascii="Times New Roman" w:hAnsi="Times New Roman"/>
          <w:b w:val="0"/>
          <w:sz w:val="24"/>
        </w:rPr>
        <w:t>. Reconcile the two, and cite which figure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is the dataset author's and which is the count after curation.</w:t>
      </w:r>
    </w:p>
    <w:p>
      <w:pPr>
        <w:spacing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spacing w:line="240" w:lineRule="auto"/>
      </w:pPr>
    </w:p>
    <w:p>
      <w:pPr>
        <w:spacing w:before="280" w:after="120" w:line="240" w:lineRule="auto"/>
      </w:pPr>
      <w:r>
        <w:rPr>
          <w:rFonts w:ascii="Times New Roman" w:hAnsi="Times New Roman"/>
          <w:b/>
          <w:sz w:val="26"/>
        </w:rPr>
        <w:t>3.3 Data Gathering Procedures — scaffold only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/>
          <w:sz w:val="24"/>
        </w:rPr>
        <w:t>I have not drafted 3.3.1–3.3.3.</w:t>
      </w:r>
      <w:r>
        <w:rPr>
          <w:rFonts w:ascii="Times New Roman" w:hAnsi="Times New Roman"/>
          <w:b w:val="0"/>
          <w:sz w:val="24"/>
        </w:rPr>
        <w:t xml:space="preserve"> They describe human participants,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sampling and ethics, and inventing those would fabricate a research record.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What the chapter needs from you:</w:t>
      </w:r>
    </w:p>
    <w:p>
      <w:pPr>
        <w:spacing w:line="240" w:lineRule="auto"/>
      </w:pPr>
    </w:p>
    <w:p>
      <w:pPr>
        <w:spacing w:before="0" w:after="0" w:line="360" w:lineRule="auto"/>
        <w:ind w:left="432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3.3.1</w:t>
      </w:r>
      <w:r>
        <w:rPr>
          <w:rFonts w:ascii="Times New Roman" w:hAnsi="Times New Roman"/>
          <w:b w:val="0"/>
          <w:sz w:val="24"/>
        </w:rPr>
        <w:t xml:space="preserve"> — who evaluates the prototype (cybersecurity practitioners,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 xml:space="preserve">  forensic analysts), how many, how they were recruited, the sampling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 xml:space="preserve">  method, and the inclusion criteria. §3.1 already commits you to ISO/IEC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 xml:space="preserve">  25010 expert evaluation, so this section must name that panel.</w:t>
      </w:r>
    </w:p>
    <w:p>
      <w:pPr>
        <w:spacing w:before="0" w:after="0" w:line="360" w:lineRule="auto"/>
        <w:ind w:left="432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3.3.2</w:t>
      </w:r>
      <w:r>
        <w:rPr>
          <w:rFonts w:ascii="Times New Roman" w:hAnsi="Times New Roman"/>
          <w:b w:val="0"/>
          <w:sz w:val="24"/>
        </w:rPr>
        <w:t xml:space="preserve"> — how the Likert responses are coded and aggregated, and which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 xml:space="preserve">  descriptive statistics are reported per characteristic.</w:t>
      </w:r>
    </w:p>
    <w:p>
      <w:pPr>
        <w:spacing w:before="0" w:after="0" w:line="360" w:lineRule="auto"/>
        <w:ind w:left="432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3.3.3</w:t>
      </w:r>
      <w:r>
        <w:rPr>
          <w:rFonts w:ascii="Times New Roman" w:hAnsi="Times New Roman"/>
          <w:b w:val="0"/>
          <w:sz w:val="24"/>
        </w:rPr>
        <w:t xml:space="preserve"> — storage, anonymisation, retention and disposal.</w:t>
      </w:r>
    </w:p>
    <w:p>
      <w:pPr>
        <w:spacing w:line="240" w:lineRule="auto"/>
      </w:pP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One thing you can state factually: **the machine-learning experiments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involve no human participants and no personal data.** All traffic is from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published benchmark datasets captured in controlled laboratory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environments. The ethics section applies to the evaluation panel only, and</w:t>
      </w:r>
    </w:p>
    <w:p>
      <w:pPr>
        <w:spacing w:before="0" w:after="0" w:line="480" w:lineRule="auto"/>
      </w:pPr>
      <w:r>
        <w:rPr>
          <w:rFonts w:ascii="Times New Roman" w:hAnsi="Times New Roman"/>
          <w:b w:val="0"/>
          <w:sz w:val="24"/>
        </w:rPr>
        <w:t>saying so explicitly is worth a sentence.</w:t>
      </w:r>
    </w:p>
    <w:p>
      <w:pPr>
        <w:spacing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spacing w:line="240" w:lineRule="auto"/>
      </w:pPr>
    </w:p>
    <w:p>
      <w:pPr>
        <w:spacing w:before="280" w:after="120" w:line="240" w:lineRule="auto"/>
      </w:pPr>
      <w:r>
        <w:rPr>
          <w:rFonts w:ascii="Times New Roman" w:hAnsi="Times New Roman"/>
          <w:b/>
          <w:sz w:val="26"/>
        </w:rPr>
        <w:t>3.4 System Architecture — full draft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 xml:space="preserve">ForenXAI is a </w:t>
      </w:r>
      <w:r>
        <w:rPr>
          <w:rFonts w:ascii="Times New Roman" w:hAnsi="Times New Roman"/>
          <w:b/>
          <w:sz w:val="24"/>
        </w:rPr>
        <w:t>layered desktop application</w:t>
      </w:r>
      <w:r>
        <w:rPr>
          <w:rFonts w:ascii="Times New Roman" w:hAnsi="Times New Roman"/>
          <w:b w:val="0"/>
          <w:sz w:val="24"/>
        </w:rPr>
        <w:t>, organised so that every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analytical result is computed before any explanation is written, and so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that the explanation layer can fail without removing evidence from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screen.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Layer 1 — Evidence acquisition.</w:t>
      </w:r>
      <w:r>
        <w:rPr>
          <w:rFonts w:ascii="Times New Roman" w:hAnsi="Times New Roman"/>
          <w:b w:val="0"/>
          <w:sz w:val="24"/>
        </w:rPr>
        <w:t xml:space="preserve"> The investigator supplies a PCAP or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PCAPng capture. The file is hashed with SHA-256 before anything reads it,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and converted to flow records by CICFlowMeter v4. Where the reference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extractor is unavailable — its native libraries frequently cannot be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installed on Windows — a pure-Python extractor substitutes automatically.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two segment flows on slightly different activity, bulk and subflow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boundaries, so the engine that produced a given flow table is recorded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beside it and displayed, because a timing feature is only interpretable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against the extractor that computed it.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Layer 2 — Classification.</w:t>
      </w:r>
      <w:r>
        <w:rPr>
          <w:rFonts w:ascii="Times New Roman" w:hAnsi="Times New Roman"/>
          <w:b w:val="0"/>
          <w:sz w:val="24"/>
        </w:rPr>
        <w:t xml:space="preserve"> The frozen feature schema is applied,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scaler fitted during training is applied without refitting, and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sixteen-class XGBoost classifier produces a predicted class and a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probability distribution for every flow. Flows are then aggregated into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findings</w:t>
      </w:r>
      <w:r>
        <w:rPr>
          <w:rFonts w:ascii="Times New Roman" w:hAnsi="Times New Roman"/>
          <w:b w:val="0"/>
          <w:sz w:val="24"/>
        </w:rPr>
        <w:t xml:space="preserve"> — one per predicted class — because a response decision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taken about a class and its flows, not about a single flow.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Layer 3 — Attribution.</w:t>
      </w:r>
      <w:r>
        <w:rPr>
          <w:rFonts w:ascii="Times New Roman" w:hAnsi="Times New Roman"/>
          <w:b w:val="0"/>
          <w:sz w:val="24"/>
        </w:rPr>
        <w:t xml:space="preserve"> Exact TreeSHAP, with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feature_perturbation="tree_path_dependent", is computed for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representative flows of the selected finding. Values are log-odds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contributions. Each attribution is rendered with its plain-English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feature name, its observed value converted to a readable unit, its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distance from the training mean, and its direction. The additivity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identity — base value plus all 74 contributions equals the model's own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margin — is recomputed on every run and reported to the interface, so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panel demonstrates the arithmetic rather than asserting it.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Layer 4 — Retrieval.</w:t>
      </w:r>
      <w:r>
        <w:rPr>
          <w:rFonts w:ascii="Times New Roman" w:hAnsi="Times New Roman"/>
          <w:b w:val="0"/>
          <w:sz w:val="24"/>
        </w:rPr>
        <w:t xml:space="preserve"> The predicted class indexes a response playbook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through a dictionary. An unmapped class raises an error; it never falls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back to a similar one. Further documents are retrieved on the basis of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result</w:t>
      </w:r>
      <w:r>
        <w:rPr>
          <w:rFonts w:ascii="Times New Roman" w:hAnsi="Times New Roman"/>
          <w:b w:val="0"/>
          <w:sz w:val="24"/>
        </w:rPr>
        <w:t xml:space="preserve"> rather than the class alone: a weak-F1 class retrieves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reliability guidance, a low-confidence finding retrieves the confidence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guidance, and a dominant runner-up retrieves the second class's playbook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as well, so that an inseparable pair is reported as a pair. Every quoted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passage is re-verified against the source document it cites, on the file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as it exists at run time; a document whose quotations no longer match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withheld from both the interface and the language model.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Layer 5 — Narration.</w:t>
      </w:r>
      <w:r>
        <w:rPr>
          <w:rFonts w:ascii="Times New Roman" w:hAnsi="Times New Roman"/>
          <w:b w:val="0"/>
          <w:sz w:val="24"/>
        </w:rPr>
        <w:t xml:space="preserve"> A locally hosted language model (qwen2.5:7b via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Ollama) rewrites the retrieved and computed material into prose. It runs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on the analyst's machine because a capture contains the internal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addressing of a network the investigator is responsible for, and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transmitting it is a disclosure decision the tool should not make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silently. Generation for the recommendations panel is constrained to a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JSON schema in which a step without a verbatim anchor from the retrieved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playbook cannot be expressed. Nine grounding checks then compare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output against its input; prose that fails a high-severity check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withheld and replaced by a paragraph composed deterministically from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panel's own figures.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The layers degrade independently.</w:t>
      </w:r>
      <w:r>
        <w:rPr>
          <w:rFonts w:ascii="Times New Roman" w:hAnsi="Times New Roman"/>
          <w:b w:val="0"/>
          <w:sz w:val="24"/>
        </w:rPr>
        <w:t xml:space="preserve"> Every figure, label, attribution and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citation is produced by layers 1–4 and rendered whether or not layer 5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responds. Narration is additive: an unavailable language model costs prose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and never evidence.</w:t>
      </w:r>
    </w:p>
    <w:p>
      <w:pPr>
        <w:spacing w:line="240" w:lineRule="auto"/>
      </w:pPr>
    </w:p>
    <w:p>
      <w:pPr>
        <w:spacing w:before="200" w:after="80" w:line="240" w:lineRule="auto"/>
      </w:pPr>
      <w:r>
        <w:rPr>
          <w:rFonts w:ascii="Times New Roman" w:hAnsi="Times New Roman"/>
          <w:b/>
          <w:sz w:val="24"/>
        </w:rPr>
        <w:t>Figure 1 — insert this diagram</w:t>
      </w:r>
    </w:p>
    <w:p>
      <w:pPr>
        <w:spacing w:line="240" w:lineRule="auto"/>
      </w:pPr>
    </w:p>
    <w:p>
      <w:pPr>
        <w:spacing w:line="240" w:lineRule="auto" w:after="200"/>
        <w:ind w:left="360"/>
      </w:pPr>
      <w:r>
        <w:rPr>
          <w:rFonts w:ascii="Consolas" w:hAnsi="Consolas"/>
          <w:sz w:val="16"/>
        </w:rPr>
        <w:t xml:space="preserve">        ┌──────────────────────────────────────────────────────┐</w:t>
        <w:br/>
        <w:t xml:space="preserve">        │  TAB 1 — FORENSIC ANALYSIS                           │</w:t>
        <w:br/>
        <w:t xml:space="preserve">        │                                                      │</w:t>
        <w:br/>
        <w:t xml:space="preserve">        │  PCAP ──► SHA-256 ──► flow extraction ──► 74 features│</w:t>
        <w:br/>
        <w:t xml:space="preserve">        │                       (CICFlowMeter v4                │</w:t>
        <w:br/>
        <w:t xml:space="preserve">        │                        or Python fallback)           │</w:t>
        <w:br/>
        <w:t xml:space="preserve">        │                            │                          │</w:t>
        <w:br/>
        <w:t xml:space="preserve">        │                            ▼                          │</w:t>
        <w:br/>
        <w:t xml:space="preserve">        │              XGBoost, 16 classes ──► TreeSHAP         │</w:t>
        <w:br/>
        <w:t xml:space="preserve">        │                            │                          │</w:t>
        <w:br/>
        <w:t xml:space="preserve">        │                            ▼                          │</w:t>
        <w:br/>
        <w:t xml:space="preserve">        │        case file: 6 artefacts, each with SHA-256      │</w:t>
        <w:br/>
        <w:t xml:space="preserve">        └────────────────────────────┬─────────────────────────┘</w:t>
        <w:br/>
        <w:t xml:space="preserve">                                     │ flow table + capture hash</w:t>
        <w:br/>
        <w:t xml:space="preserve">        ┌────────────────────────────▼─────────────────────────┐</w:t>
        <w:br/>
        <w:t xml:space="preserve">        │  TAB 2 — EXPLANATION                                 │</w:t>
        <w:br/>
        <w:t xml:space="preserve">        │                                                      │</w:t>
        <w:br/>
        <w:t xml:space="preserve">        │  Panel 1          Panel 2           Panel 3          │</w:t>
        <w:br/>
        <w:t xml:space="preserve">        │  what is in       why this class    what to do       │</w:t>
        <w:br/>
        <w:t xml:space="preserve">        │  the capture      (TreeSHAP)        (retrieval)      │</w:t>
        <w:br/>
        <w:t xml:space="preserve">        │      │                │                  │            │</w:t>
        <w:br/>
        <w:t xml:space="preserve">        │      └────────────────┴──────────────────┘            │</w:t>
        <w:br/>
        <w:t xml:space="preserve">        │                       │                               │</w:t>
        <w:br/>
        <w:t xml:space="preserve">        │         local language model — rewrites only          │</w:t>
        <w:br/>
        <w:t xml:space="preserve">        │         (nothing leaves the machine)                  │</w:t>
        <w:br/>
        <w:t xml:space="preserve">        └──────────────────────────────────────────────────────┘</w:t>
        <w:br/>
        <w:br/>
        <w:t xml:space="preserve">   knowledge corpus ──► deterministic retriever ──► quote verification</w:t>
        <w:br/>
        <w:t xml:space="preserve">   (26 documents,       (class → document,          (against the cited</w:t>
        <w:br/>
        <w:t xml:space="preserve">    18 cited sources)    result → guidance)          source, at run time)</w:t>
      </w:r>
    </w:p>
    <w:p>
      <w:pPr>
        <w:spacing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spacing w:line="240" w:lineRule="auto"/>
      </w:pPr>
    </w:p>
    <w:p>
      <w:pPr>
        <w:spacing w:before="280" w:after="120" w:line="240" w:lineRule="auto"/>
      </w:pPr>
      <w:r>
        <w:rPr>
          <w:rFonts w:ascii="Times New Roman" w:hAnsi="Times New Roman"/>
          <w:b/>
          <w:sz w:val="26"/>
        </w:rPr>
        <w:t>3.5 Experimental Procedures — full draft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3.5.1 Experimental setup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All experiments were executed on the environment reported in Table 2a,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on CPU; no GPU was used, so the durations below are comparable with one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another but not with GPU-trained figures. A fixed random seed of 42 was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applied throughout — to dataset sampling, to every train/validation split,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and to model initialisation — so that every split and every result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reproducible. The pipeline is organised as sixteen numbered scripts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executed in order, each writing its outputs to disk before the next reads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them, so that any stage can be re-run without repeating those before it.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3.5.2 Data pre-processing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Scripts 01–03 convert the three raw sources into typed tables.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TRUSTLab reader addresses two defects in the published distribution.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PortScan.csv.gz is truncated — the compressed stream terminates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mid-file, and downloads repeated over separate networks produced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byte-identical files, establishing the fault as originating in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published archive. The reader drives zlib directly rather than through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Python's gzip module, because the latter discards already-decompressed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bytes on encountering the break; this recovers 107,579 of approximately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171,147 rows (62.9%), against 98,819 by the alternative path.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half-written final record is discarded so that no row receives shifted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column values. Because the per-class cap is 80,000, the recovery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sufficient and no class is short of rows; the cost is confined to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provenance, in that PortScan's rows originate from the first 62.9% of its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recording, which weakens that one class in the temporal split.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Script 04 aligns the schemas to the 74 shared features described in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§3.2 and freezes the column order. The scaler is fitted on the training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portion alone and thereafter only applied, so that no distributional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information from any evaluation set reaches the fitted parameters.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3.5.3 Model training and testing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Experiment A — binary detection and external validation (05–07).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Five architectures — MLP, CNN1D, LSTM, CNN-BiLSTM and XGBoost — were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trained on each of three training arms: CSE-CIC-IDS2018 alone, TII-SSRC-23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alone, and the two combined. Fifteen resulting detectors were scored on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TRUSTLab at threshold 0.445, the operating point at which the published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baseline was measured, so that the comparison reflects the models rather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than a mismatched cutoff. A validation slice of 15% was carved from each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training file for early stopping only and is never reported as a result.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Experiment B — sixteen-class identification (08–10).</w:t>
      </w:r>
      <w:r>
        <w:rPr>
          <w:rFonts w:ascii="Times New Roman" w:hAnsi="Times New Roman"/>
          <w:b w:val="0"/>
          <w:sz w:val="24"/>
        </w:rPr>
        <w:t xml:space="preserve"> The same five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architectures were trained on the TRUSTLab split in Table 3b and evaluated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on the held-out 20%. Per-class F1 is compared against the dataset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authors' published figures, with the protocol difference stated on every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table: their classifier received only traffic a detector had already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flagged, whereas this one receives everything.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3.5.4 Diagnostic procedures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Two procedures were added because the primary results alone would have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been misleading.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Session-artifact testing (11).</w:t>
      </w:r>
      <w:r>
        <w:rPr>
          <w:rFonts w:ascii="Times New Roman" w:hAnsi="Times New Roman"/>
          <w:b w:val="0"/>
          <w:sz w:val="24"/>
        </w:rPr>
        <w:t xml:space="preserve"> TRUSTLab captures each attack family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in an isolated session, which guarantees clean labels but also means any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property peculiar to a session aligns perfectly with the class label. To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test whether the classifier had learned the attack or the recording,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identical model and data were evaluated under two splitting protocols: a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random split, and a temporal split in which the test partition is the last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20% of each class by capture order. A feature-ablation test was run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alongside it, removing the four features most likely to encode capture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conditions.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Protocol reconstruction (12).</w:t>
      </w:r>
      <w:r>
        <w:rPr>
          <w:rFonts w:ascii="Times New Roman" w:hAnsi="Times New Roman"/>
          <w:b w:val="0"/>
          <w:sz w:val="24"/>
        </w:rPr>
        <w:t xml:space="preserve"> To make the comparison with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published baseline like-for-like, the authors' two-stage arrangement was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rebuilt three ways: an oracle filter passing every attack and no benign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traffic; a matched filter reconstructing their Phase-1 operating point;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and a learned filter using the detector from script 05. Only the third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describes a system that could actually run; the first two are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counterfactual controls and are labelled as such.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3.5.5 Explanation and retrieval (13–15)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Script 13 computes global and per-flow TreeSHAP attributions over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deployed classifier and verifies the additivity identity on every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execution, terminating if it fails. Script 14 constructs the three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explanation panels from a capture and the curated corpus. Script 15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scores the generated prose against the material it was given.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3.5.6 Model and prototype integration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trained classifier is exported as a frozen deployment bundle —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estimator, the fitted scaler, the label encoder, the feature order, and a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manifest of SHA-256 hashes — and the application verifies that manifest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before loading any serialised object, because a pickle is executed when it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is read.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prototype is a Python desktop application with two tabs. The forensic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tab drives Layers 1–3 and writes a case file in which every artefact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paired with its SHA-256. The explanation tab consumes that case file and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renders Layers 3–5 as three panels. The two communicate through a single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field, the path of the generated flow table, and the explanation tab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re-verifies that the flow table corresponds to the capture named in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case rather than trusting the path.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Integration is verified by an automated suite of 122 checks executed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without a language model and 154 with one, together with a 166-check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panel suite. One section of the suite feeds different input and asserts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that the output changes with it, on the principle that a panel producing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identical output for every capture is not analysing anything.</w:t>
      </w:r>
    </w:p>
    <w:p>
      <w:pPr>
        <w:spacing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spacing w:line="240" w:lineRule="auto"/>
      </w:pPr>
    </w:p>
    <w:p>
      <w:pPr>
        <w:spacing w:before="280" w:after="120" w:line="240" w:lineRule="auto"/>
      </w:pPr>
      <w:r>
        <w:rPr>
          <w:rFonts w:ascii="Times New Roman" w:hAnsi="Times New Roman"/>
          <w:b/>
          <w:sz w:val="26"/>
        </w:rPr>
        <w:t>3.6 Evaluation Metrics and Validation — missing entirely, full draft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3.6.1 Classification metrics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Accuracy, precision, recall and F1 are reported per class, with macro F1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as the summary statistic because it weights all sixteen classes equally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and therefore exposes a collapsed minority class that weighted averaging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would conceal. ROC-AUC is reported for the binary experiment because it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independent of the decision threshold: a model whose AUC is below 0.5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ranks attacks beneath benign traffic, and no choice of cutoff repairs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that.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3.6.2 Results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TABLE 4. Binary detectors evaluated on TRUSTLab (unseen)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</w:r>
          </w:p>
        </w:tc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Mean ROC-AUC, 15 detectors</w:t>
            </w:r>
          </w:p>
        </w:tc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0.4665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Detectors below 0.50</w:t>
            </w:r>
          </w:p>
        </w:tc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11 of 15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Best external accuracy</w:t>
            </w:r>
          </w:p>
        </w:tc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0.6329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Internal F1 range, own data</w:t>
            </w:r>
          </w:p>
        </w:tc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0.95 – 0.99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Published baseline accuracy</w:t>
            </w:r>
          </w:p>
        </w:tc>
        <w:tc>
          <w:tcPr>
            <w:tcW w:type="dxa" w:w="432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0.8963</w:t>
            </w:r>
          </w:p>
        </w:tc>
      </w:tr>
    </w:tbl>
    <w:p>
      <w:pPr>
        <w:spacing w:after="120"/>
      </w:pP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TABLE 5. Sixteen-class classifiers, TRUSTLab held-out 20%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Model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Accuracy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Macro F1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Weighted F1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Train time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XGBoost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0.9337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0.9287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0.9337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388 s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CNN1D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0.9264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0.9208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0.9262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4,730 s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CNN-BiLSTM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0.9263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0.9199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0.9255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27,781 s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LSTM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0.9223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0.9174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0.9228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30,850 s</w:t>
            </w:r>
          </w:p>
        </w:tc>
      </w:tr>
      <w:tr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MLP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0.9220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0.9164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0.9217</w:t>
            </w:r>
          </w:p>
        </w:tc>
        <w:tc>
          <w:tcPr>
            <w:tcW w:type="dxa" w:w="1728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885 s</w:t>
            </w:r>
          </w:p>
        </w:tc>
      </w:tr>
    </w:tbl>
    <w:p>
      <w:pPr>
        <w:spacing w:after="120"/>
      </w:pP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five architectures fall within 1.2 percentage points of one another,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and the simplest leads. That convergence is itself a finding: no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architecture unlocks the difficult classes, which locates the remaining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difficulty in the feature representation rather than in model capacity.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XGBoost was selected for deployment on that basis, at 1/80th of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training cost of the slowest alternative.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/>
          <w:sz w:val="24"/>
        </w:rPr>
        <w:t>TABLE 6. Session-artifact diagnostic — same model, two splits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Class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Random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Temporal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Δ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WebBased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0.9940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0.5321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−0.4619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Slowloris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0.7563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0.3300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−0.4263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DoS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0.6806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0.4352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−0.2454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PortScan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0.9941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0.8346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−0.1595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macro F1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0.9305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0.8325</w:t>
            </w:r>
          </w:p>
        </w:tc>
        <w:tc>
          <w:tcPr>
            <w:tcW w:type="dxa" w:w="216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−0.0980</w:t>
            </w:r>
          </w:p>
        </w:tc>
      </w:tr>
    </w:tbl>
    <w:p>
      <w:pPr>
        <w:spacing w:after="120"/>
      </w:pP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macro drop of 0.098 is modest and must not be reported alone: eleven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classes are essentially unchanged while four collapse. Feature ablation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moved macro F1 by 0.0002, indicating that the features most likely to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encode capture conditions are not carrying the result — a positive finding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for the dataset's capture methodology.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3.6.3 Interpreting two kinds of failure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Comparing each class's error distribution across both protocols separates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two distinct phenomena. **Consistent confusion with one similar class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indicates a feature-space limit**: Slowloris and DoS remain mutually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confused under both protocols, which is consistent with a boundary defined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by a rate threshold rather than a categorical difference. **Dispersal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across unrelated classes indicates session memorisation**: WebBased does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not collide with a lookalike but scatters across four unconnected classes,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 pattern invisible under random splitting and therefore invisible in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protocol the dataset authors used.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3.6.4 Explanation validation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attribution layer is validated numerically rather than by inspection.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additivity identity is recomputed on every execution, with a measured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error of 1.2 × 10⁻⁶; the reconstruction is confirmed to select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predicted class; and the features on which no tree splits are confirmed to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carry exactly zero contribution.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Generated prose is validated by nine automated grounding checks covering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units, citations, numerical figures, verbatim anchors, magnitude claims,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reference markers, attribution direction, the decision statement, and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named mechanisms. Prose failing a high-severity check is withheld from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display and replaced by a deterministic summary; the model's original text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is retained in the case file for audit. Every retrieved quotation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additionally re-verified against its source document at render time.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3.6.5 Prototype evaluation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prototype is evaluated by cybersecurity practitioners and forensic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analysts against ISO/IEC 25010, across Functional Suitability, Usability,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Reliability and Performance Efficiency, with explanation quality rated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separately for clarity, logical consistency and usefulness.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instrument, panel and analysis procedure are described in §3.3.</w:t>
      </w:r>
    </w:p>
    <w:p>
      <w:pPr>
        <w:spacing w:line="240" w:lineRule="auto"/>
      </w:pPr>
    </w:p>
    <w:p>
      <w:pPr>
        <w:spacing w:before="200" w:after="80" w:line="240" w:lineRule="auto"/>
        <w:ind w:left="504"/>
      </w:pPr>
      <w:r>
        <w:rPr>
          <w:rFonts w:ascii="Times New Roman" w:hAnsi="Times New Roman"/>
          <w:b/>
          <w:sz w:val="24"/>
        </w:rPr>
        <w:t>3.6.6 Scope of the claim</w:t>
      </w:r>
    </w:p>
    <w:p>
      <w:pPr>
        <w:spacing w:line="240" w:lineRule="auto"/>
      </w:pP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All classification figures are measured on TRUSTLab held-out data — the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same capture environment the models were trained in. The binary experiment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is the direct evidence that such results do not transfer automatically: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the same architectures score 0.95–0.99 on their own data and below chance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on an unseen network. The claim this study supports is therefore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**validated on TRUSTLab; performance in other capture environments is not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established.** This is a statement of scope rather than a hedge, and it is</w:t>
      </w:r>
    </w:p>
    <w:p>
      <w:pPr>
        <w:spacing w:before="0" w:after="0" w:line="480" w:lineRule="auto"/>
        <w:ind w:left="504"/>
      </w:pPr>
      <w:r>
        <w:rPr>
          <w:rFonts w:ascii="Times New Roman" w:hAnsi="Times New Roman"/>
          <w:b w:val="0"/>
          <w:sz w:val="24"/>
        </w:rPr>
        <w:t>what the evidence permits.</w:t>
      </w:r>
    </w:p>
    <w:p>
      <w:pPr>
        <w:spacing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sz w:val="24"/>
        </w:rPr>
        <w:t>____________________________________________________________</w:t>
      </w:r>
    </w:p>
    <w:p>
      <w:pPr>
        <w:spacing w:line="240" w:lineRule="auto"/>
      </w:pPr>
    </w:p>
    <w:p>
      <w:pPr>
        <w:spacing w:before="280" w:after="120" w:line="240" w:lineRule="auto"/>
      </w:pPr>
      <w:r>
        <w:rPr>
          <w:rFonts w:ascii="Times New Roman" w:hAnsi="Times New Roman"/>
          <w:b/>
          <w:sz w:val="26"/>
        </w:rPr>
        <w:t>Checklist</w:t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Section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State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/>
                <w:sz w:val="19"/>
              </w:rPr>
              <w:t>Action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3.1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written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delete two template blocks; insert the two-experiment paragraph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3.2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wrong dataset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add TRUSTLab, Table 3b, the 16 classes, the alignment limitation; reconcile 16,233,002 vs 16,137,183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3.3.1–3.3.3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template only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yours to write — participants and ethics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3.4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empty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draft above + Figure 1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3.5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empty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draft above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3.6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absent</w:t>
            </w:r>
          </w:p>
        </w:tc>
        <w:tc>
          <w:tcPr>
            <w:tcW w:type="dxa" w:w="2880"/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b w:val="0"/>
                <w:sz w:val="19"/>
              </w:rPr>
              <w:t>draft above</w:t>
            </w:r>
          </w:p>
        </w:tc>
      </w:tr>
    </w:tbl>
    <w:p>
      <w:pPr>
        <w:spacing w:after="120"/>
      </w:pPr>
    </w:p>
    <w:p>
      <w:pPr>
        <w:spacing w:line="240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