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ФОНД ОЦЕНОЧНЫХ СРЕДСТВ</w:t>
      </w:r>
    </w:p>
    <w:p>
      <w:pPr>
        <w:jc w:val="center"/>
      </w:pPr>
      <w:r>
        <w:rPr>
          <w:sz w:val="22"/>
        </w:rPr>
        <w:t>Б1.В.05 «Методы искусственного интеллекта в задачах классификации»</w:t>
      </w:r>
    </w:p>
    <w:p>
      <w:pPr>
        <w:jc w:val="center"/>
      </w:pPr>
      <w:r>
        <w:t>Дата подготовки: 11 июля 2026 г.</w:t>
      </w:r>
    </w:p>
    <w:p>
      <w:pPr>
        <w:pStyle w:val="Heading1"/>
      </w:pPr>
      <w:r>
        <w:t>1. Паспорт</w:t>
      </w:r>
    </w:p>
    <w:p>
      <w:r>
        <w:t>Направление 02.03.03 «Математическое обеспечение и администрирование информационных систем», профиль «Искусственный интеллект и аналитика данных»; бакалавриат, 3 курс, 6 семестр; 2 з.е. (72 ч.); форма аттестации — зачёт.</w:t>
      </w:r>
    </w:p>
    <w:p>
      <w:r>
        <w:t>Назначение: единообразная проверка ML-2, ML-3 и DL-1 в ходе лабораторных работ и сквозного проекта классификации.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Оценочное средство</w:t>
            </w:r>
          </w:p>
        </w:tc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Вес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ЛР1: EDA, разбиение данных, базовый pipeline</w:t>
            </w:r>
          </w:p>
        </w:tc>
        <w:tc>
          <w:tcPr>
            <w:tcW w:type="dxa" w:w="4847"/>
            <w:vAlign w:val="top"/>
          </w:tcPr>
          <w:p>
            <w:r>
              <w:t>8%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ЛР2: Метрики, кросс-валидация и дисбаланс классов</w:t>
            </w:r>
          </w:p>
        </w:tc>
        <w:tc>
          <w:tcPr>
            <w:tcW w:type="dxa" w:w="4847"/>
            <w:vAlign w:val="top"/>
          </w:tcPr>
          <w:p>
            <w:r>
              <w:t>10%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ЛР3: Логистическая регрессия и SVM</w:t>
            </w:r>
          </w:p>
        </w:tc>
        <w:tc>
          <w:tcPr>
            <w:tcW w:type="dxa" w:w="4847"/>
            <w:vAlign w:val="top"/>
          </w:tcPr>
          <w:p>
            <w:r>
              <w:t>10%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ЛР4: Деревья решений, Random Forest и boosting</w:t>
            </w:r>
          </w:p>
        </w:tc>
        <w:tc>
          <w:tcPr>
            <w:tcW w:type="dxa" w:w="4847"/>
            <w:vAlign w:val="top"/>
          </w:tcPr>
          <w:p>
            <w:r>
              <w:t>12%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ЛР5: MLP для классификации табличных данных</w:t>
            </w:r>
          </w:p>
        </w:tc>
        <w:tc>
          <w:tcPr>
            <w:tcW w:type="dxa" w:w="4847"/>
            <w:vAlign w:val="top"/>
          </w:tcPr>
          <w:p>
            <w:r>
              <w:t>10%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ЛР6: CNN и transfer learning для изображений</w:t>
            </w:r>
          </w:p>
        </w:tc>
        <w:tc>
          <w:tcPr>
            <w:tcW w:type="dxa" w:w="4847"/>
            <w:vAlign w:val="top"/>
          </w:tcPr>
          <w:p>
            <w:r>
              <w:t>10%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Проект: Сквозное программное решение задачи классификации</w:t>
            </w:r>
          </w:p>
        </w:tc>
        <w:tc>
          <w:tcPr>
            <w:tcW w:type="dxa" w:w="4847"/>
            <w:vAlign w:val="top"/>
          </w:tcPr>
          <w:p>
            <w:r>
              <w:t>25%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Peer-review: Перекрестная экспертиза проекта</w:t>
            </w:r>
          </w:p>
        </w:tc>
        <w:tc>
          <w:tcPr>
            <w:tcW w:type="dxa" w:w="4847"/>
            <w:vAlign w:val="top"/>
          </w:tcPr>
          <w:p>
            <w:r>
              <w:t>5%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Защита: Презентация и ответы комиссии</w:t>
            </w:r>
          </w:p>
        </w:tc>
        <w:tc>
          <w:tcPr>
            <w:tcW w:type="dxa" w:w="4847"/>
            <w:vAlign w:val="top"/>
          </w:tcPr>
          <w:p>
            <w:r>
              <w:t>10%</w:t>
            </w:r>
          </w:p>
        </w:tc>
      </w:tr>
    </w:tbl>
    <w:p>
      <w:pPr>
        <w:pStyle w:val="Heading2"/>
      </w:pPr>
      <w:r>
        <w:t>Условия зачёта</w:t>
      </w:r>
    </w:p>
    <w:p>
      <w:pPr>
        <w:pStyle w:val="ListBullet"/>
      </w:pPr>
      <w:r>
        <w:t>Итог не менее 60/100.</w:t>
      </w:r>
    </w:p>
    <w:p>
      <w:pPr>
        <w:pStyle w:val="ListBullet"/>
      </w:pPr>
      <w:r>
        <w:t>Проект сдан и получил не менее 15/25.</w:t>
      </w:r>
    </w:p>
    <w:p>
      <w:pPr>
        <w:pStyle w:val="ListBullet"/>
      </w:pPr>
      <w:r>
        <w:t>Защита не ниже 4/10.</w:t>
      </w:r>
    </w:p>
    <w:p>
      <w:pPr>
        <w:pStyle w:val="ListBullet"/>
      </w:pPr>
      <w:r>
        <w:t>Нет критического дефекта: утечки тестовой выборки, невоспроизводимого результата или заимствования без атрибуции.</w:t>
      </w:r>
    </w:p>
    <w:p>
      <w:r>
        <w:t>Шкала: 90–100 — высокий уровень; 75–89 — повышенный; 60–74 — пороговый; 0–59 — результаты не подтверждены.</w:t>
      </w:r>
    </w:p>
    <w:p>
      <w:pPr>
        <w:pStyle w:val="Heading1"/>
      </w:pPr>
      <w:r>
        <w:t>Роли и результаты КРМ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ML-2.1</w:t>
            </w:r>
          </w:p>
        </w:tc>
        <w:tc>
          <w:tcPr>
            <w:tcW w:type="dxa" w:w="4847"/>
            <w:vAlign w:val="top"/>
          </w:tcPr>
          <w:p>
            <w:r>
              <w:t>Различает типы задач МО, выбирает и обосновывает метод решения задачи классификации.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ML-2.2</w:t>
            </w:r>
          </w:p>
        </w:tc>
        <w:tc>
          <w:tcPr>
            <w:tcW w:type="dxa" w:w="4847"/>
            <w:vAlign w:val="top"/>
          </w:tcPr>
          <w:p>
            <w:r>
              <w:t>Применяет предварительную обработку данных и работу с признаками.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ML-2.3</w:t>
            </w:r>
          </w:p>
        </w:tc>
        <w:tc>
          <w:tcPr>
            <w:tcW w:type="dxa" w:w="4847"/>
            <w:vAlign w:val="top"/>
          </w:tcPr>
          <w:p>
            <w:r>
              <w:t>Оценивает качество моделей, применяет кросс-валидацию и методы работы с дисбалансом.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ML-3.1</w:t>
            </w:r>
          </w:p>
        </w:tc>
        <w:tc>
          <w:tcPr>
            <w:tcW w:type="dxa" w:w="4847"/>
            <w:vAlign w:val="top"/>
          </w:tcPr>
          <w:p>
            <w:r>
              <w:t>Обосновывает применение классических методов МО с учителем и их параметров.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ML-3.2</w:t>
            </w:r>
          </w:p>
        </w:tc>
        <w:tc>
          <w:tcPr>
            <w:tcW w:type="dxa" w:w="4847"/>
            <w:vAlign w:val="top"/>
          </w:tcPr>
          <w:p>
            <w:r>
              <w:t>Применяет классические и ансамблевые методы для достижения требуемых характеристик.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ML-3.3</w:t>
            </w:r>
          </w:p>
        </w:tc>
        <w:tc>
          <w:tcPr>
            <w:tcW w:type="dxa" w:w="4847"/>
            <w:vAlign w:val="top"/>
          </w:tcPr>
          <w:p>
            <w:r>
              <w:t>Сопоставляет модели с аналогами и оценивает ограничения, объяснимость и ресурсоемкость.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DL-1.1</w:t>
            </w:r>
          </w:p>
        </w:tc>
        <w:tc>
          <w:tcPr>
            <w:tcW w:type="dxa" w:w="4847"/>
            <w:vAlign w:val="top"/>
          </w:tcPr>
          <w:p>
            <w:r>
              <w:t>Объясняет и применяет основы обучения нейронных сетей: функции потерь, градиенты и оптимизацию.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DL-1.2</w:t>
            </w:r>
          </w:p>
        </w:tc>
        <w:tc>
          <w:tcPr>
            <w:tcW w:type="dxa" w:w="4847"/>
            <w:vAlign w:val="top"/>
          </w:tcPr>
          <w:p>
            <w:r>
              <w:t>Реализует MLP и выбирает архитектуру, активации и функцию потерь для классификации.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DL-1.3</w:t>
            </w:r>
          </w:p>
        </w:tc>
        <w:tc>
          <w:tcPr>
            <w:tcW w:type="dxa" w:w="4847"/>
            <w:vAlign w:val="top"/>
          </w:tcPr>
          <w:p>
            <w:r>
              <w:t>Применяет современные глубокие архитектуры и понимает особенности их обучения.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DL-1.4</w:t>
            </w:r>
          </w:p>
        </w:tc>
        <w:tc>
          <w:tcPr>
            <w:tcW w:type="dxa" w:w="4847"/>
            <w:vAlign w:val="top"/>
          </w:tcPr>
          <w:p>
            <w:r>
              <w:t>Применяет и настраивает CNN для классификации изображений.</w:t>
            </w:r>
          </w:p>
        </w:tc>
      </w:tr>
    </w:tbl>
    <w:p>
      <w:pPr>
        <w:pStyle w:val="Heading1"/>
      </w:pPr>
      <w:r>
        <w:t>Матрица оценочных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Индикатор</w:t>
            </w:r>
          </w:p>
        </w:tc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Средства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ML-2.1</w:t>
            </w:r>
          </w:p>
        </w:tc>
        <w:tc>
          <w:tcPr>
            <w:tcW w:type="dxa" w:w="4847"/>
            <w:vAlign w:val="top"/>
          </w:tcPr>
          <w:p>
            <w:r>
              <w:t>ЛР1, Проект, Защита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ML-2.2</w:t>
            </w:r>
          </w:p>
        </w:tc>
        <w:tc>
          <w:tcPr>
            <w:tcW w:type="dxa" w:w="4847"/>
            <w:vAlign w:val="top"/>
          </w:tcPr>
          <w:p>
            <w:r>
              <w:t>ЛР1, Проект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ML-2.3</w:t>
            </w:r>
          </w:p>
        </w:tc>
        <w:tc>
          <w:tcPr>
            <w:tcW w:type="dxa" w:w="4847"/>
            <w:vAlign w:val="top"/>
          </w:tcPr>
          <w:p>
            <w:r>
              <w:t>ЛР2, Проект, Peer-review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ML-3.1</w:t>
            </w:r>
          </w:p>
        </w:tc>
        <w:tc>
          <w:tcPr>
            <w:tcW w:type="dxa" w:w="4847"/>
            <w:vAlign w:val="top"/>
          </w:tcPr>
          <w:p>
            <w:r>
              <w:t>ЛР3, Проект, Защита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ML-3.2</w:t>
            </w:r>
          </w:p>
        </w:tc>
        <w:tc>
          <w:tcPr>
            <w:tcW w:type="dxa" w:w="4847"/>
            <w:vAlign w:val="top"/>
          </w:tcPr>
          <w:p>
            <w:r>
              <w:t>ЛР4, Проект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ML-3.3</w:t>
            </w:r>
          </w:p>
        </w:tc>
        <w:tc>
          <w:tcPr>
            <w:tcW w:type="dxa" w:w="4847"/>
            <w:vAlign w:val="top"/>
          </w:tcPr>
          <w:p>
            <w:r>
              <w:t>ЛР3, ЛР4, Проект, Peer-review, Защита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DL-1.1</w:t>
            </w:r>
          </w:p>
        </w:tc>
        <w:tc>
          <w:tcPr>
            <w:tcW w:type="dxa" w:w="4847"/>
            <w:vAlign w:val="top"/>
          </w:tcPr>
          <w:p>
            <w:r>
              <w:t>ЛР5, Проект, Защита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DL-1.2</w:t>
            </w:r>
          </w:p>
        </w:tc>
        <w:tc>
          <w:tcPr>
            <w:tcW w:type="dxa" w:w="4847"/>
            <w:vAlign w:val="top"/>
          </w:tcPr>
          <w:p>
            <w:r>
              <w:t>ЛР5, Проект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DL-1.3</w:t>
            </w:r>
          </w:p>
        </w:tc>
        <w:tc>
          <w:tcPr>
            <w:tcW w:type="dxa" w:w="4847"/>
            <w:vAlign w:val="top"/>
          </w:tcPr>
          <w:p>
            <w:r>
              <w:t>ЛР6, Проект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DL-1.4</w:t>
            </w:r>
          </w:p>
        </w:tc>
        <w:tc>
          <w:tcPr>
            <w:tcW w:type="dxa" w:w="4847"/>
            <w:vAlign w:val="top"/>
          </w:tcPr>
          <w:p>
            <w:r>
              <w:t>ЛР6, Проект</w:t>
            </w:r>
          </w:p>
        </w:tc>
      </w:tr>
    </w:tbl>
    <w:p>
      <w:pPr>
        <w:pStyle w:val="Heading1"/>
      </w:pPr>
      <w:r>
        <w:t>Рубрика проекта</w:t>
      </w:r>
    </w:p>
    <w:p>
      <w:r>
        <w:t>Ось A. Программное решение — 60%: постановка и baseline — 10%; данные и отсутствие утечки — 15%; реализация и воспроизводимость — 15%; экспериментальный дизайн — 10%; качество и анализ ошибок — 10%.</w:t>
      </w:r>
    </w:p>
    <w:p>
      <w:r>
        <w:t>Ось B. Документация — 40%: структура и инструкция запуска — 10%; обоснование методов и метрик — 10%; представление результатов — 10%; ограничения, этика и выводы — 10%.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4847"/>
            <w:shd w:fill="D9EAF7"/>
            <w:vAlign w:val="center"/>
          </w:tcPr>
          <w:p>
            <w:r>
              <w:rPr>
                <w:b/>
              </w:rPr>
              <w:t>Дескриптор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10</w:t>
            </w:r>
          </w:p>
        </w:tc>
        <w:tc>
          <w:tcPr>
            <w:tcW w:type="dxa" w:w="4847"/>
            <w:vAlign w:val="top"/>
          </w:tcPr>
          <w:p>
            <w:r>
              <w:t>Полное, воспроизводимое и методически обоснованное решение; выводы подтверждены.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8</w:t>
            </w:r>
          </w:p>
        </w:tc>
        <w:tc>
          <w:tcPr>
            <w:tcW w:type="dxa" w:w="4847"/>
            <w:vAlign w:val="top"/>
          </w:tcPr>
          <w:p>
            <w:r>
              <w:t>Требования выполнены; небольшие недочёты не влияют на выводы.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6</w:t>
            </w:r>
          </w:p>
        </w:tc>
        <w:tc>
          <w:tcPr>
            <w:tcW w:type="dxa" w:w="4847"/>
            <w:vAlign w:val="top"/>
          </w:tcPr>
          <w:p>
            <w:r>
              <w:t>Работоспособный минимум; анализ и обоснование частично поверхностны.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4</w:t>
            </w:r>
          </w:p>
        </w:tc>
        <w:tc>
          <w:tcPr>
            <w:tcW w:type="dxa" w:w="4847"/>
            <w:vAlign w:val="top"/>
          </w:tcPr>
          <w:p>
            <w:r>
              <w:t>Фрагментарное решение с существенными пробелами.</w:t>
            </w:r>
          </w:p>
        </w:tc>
      </w:tr>
      <w:tr>
        <w:trPr>
          <w:cantSplit/>
        </w:trPr>
        <w:tc>
          <w:tcPr>
            <w:tcW w:type="dxa" w:w="4847"/>
            <w:vAlign w:val="top"/>
          </w:tcPr>
          <w:p>
            <w:r>
              <w:t>0–3</w:t>
            </w:r>
          </w:p>
        </w:tc>
        <w:tc>
          <w:tcPr>
            <w:tcW w:type="dxa" w:w="4847"/>
            <w:vAlign w:val="top"/>
          </w:tcPr>
          <w:p>
            <w:r>
              <w:t>Результат не подтверждён, невоспроизводим или содержит критические ошибки.</w:t>
            </w:r>
          </w:p>
        </w:tc>
      </w:tr>
    </w:tbl>
    <w:p>
      <w:pPr>
        <w:pStyle w:val="Heading1"/>
      </w:pPr>
      <w:r>
        <w:t>Peer-review и защита</w:t>
      </w:r>
    </w:p>
    <w:p>
      <w:r>
        <w:t>Каждый проект получает две независимые рецензии. Проверяются постановка, данные, утечки, baseline, валидация, метрики, модели, анализ ошибок, воспроизводимость и документация. Обязательны сильные стороны, риски и три проверяемые рекомендации.</w:t>
      </w:r>
    </w:p>
    <w:p>
      <w:r>
        <w:t>Защита: доклад 7 минут, демонстрация 3 минуты, вопросы 5 минут. Комиссия оценивает ясность постановки, методическую корректность, обоснование решений, достоверность результатов, демонстрацию, ответы и ролевой вклад по КРМ.</w:t>
      </w:r>
    </w:p>
    <w:sectPr w:rsidR="00FC693F" w:rsidRPr="0006063C" w:rsidSect="00034616">
      <w:pgSz w:w="11906" w:h="16838"/>
      <w:pgMar w:top="1020" w:right="96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