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80"/>
        <w:jc w:val="center"/>
      </w:pPr>
      <w:r>
        <w:rPr>
          <w:rFonts w:ascii="Arial" w:hAnsi="Arial" w:eastAsia="Arial"/>
          <w:b/>
          <w:color w:val="2E5D7B"/>
          <w:sz w:val="26"/>
        </w:rPr>
        <w:t>РАБОЧАЯ ПРОГРАММА ДИСЦИПЛИНЫ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73B52"/>
          <w:sz w:val="40"/>
        </w:rPr>
        <w:t>Б1.В.05</w:t>
      </w:r>
    </w:p>
    <w:p>
      <w:pPr>
        <w:keepNext/>
        <w:spacing w:after="360"/>
        <w:jc w:val="center"/>
      </w:pPr>
      <w:r>
        <w:rPr>
          <w:rFonts w:ascii="Arial" w:hAnsi="Arial" w:eastAsia="Arial"/>
          <w:b/>
          <w:color w:val="173B52"/>
          <w:sz w:val="44"/>
        </w:rPr>
        <w:t>«Методы искусственного интеллекта</w:t>
        <w:br/>
        <w:t>в задачах классификации»</w:t>
      </w:r>
    </w:p>
    <w:p>
      <w:pPr>
        <w:spacing w:after="560"/>
        <w:jc w:val="center"/>
      </w:pPr>
      <w:r>
        <w:rPr>
          <w:rFonts w:ascii="Arial" w:hAnsi="Arial" w:eastAsia="Arial"/>
          <w:i/>
          <w:color w:val="5B6570"/>
          <w:sz w:val="22"/>
        </w:rPr>
        <w:t>Проект для согласования методической комиссией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1"/>
          <w:left w:val="single" w:sz="4" w:space="0" w:color="AAB7C1"/>
          <w:bottom w:val="single" w:sz="4" w:space="0" w:color="AAB7C1"/>
          <w:right w:val="single" w:sz="4" w:space="0" w:color="AAB7C1"/>
          <w:insideH w:val="single" w:sz="4" w:space="0" w:color="AAB7C1"/>
          <w:insideV w:val="single" w:sz="4" w:space="0" w:color="AAB7C1"/>
        </w:tblBorders>
      </w:tblPr>
      <w:tblGrid>
        <w:gridCol w:w="2700"/>
        <w:gridCol w:w="6938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Параметр</w:t>
            </w:r>
          </w:p>
        </w:tc>
        <w:tc>
          <w:tcPr>
            <w:tcW w:type="dxa" w:w="69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Направление подготовки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02.03.03 «Математическое обеспечение и администрирование информационных систем»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Профиль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«Искусственный интеллект и аналитика данных»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Квалификация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бакалавр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Форма обучения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очная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Курс / семестр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3 курс / 6 семестр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Объём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2 зачётные единицы / 72 часа</w:t>
            </w:r>
          </w:p>
        </w:tc>
      </w:tr>
      <w:tr>
        <w:trPr>
          <w:cantSplit/>
        </w:trPr>
        <w:tc>
          <w:tcPr>
            <w:tcW w:type="dxa" w:w="27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Форма аттестации</w:t>
            </w:r>
          </w:p>
        </w:tc>
        <w:tc>
          <w:tcPr>
            <w:tcW w:type="dxa" w:w="69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зачёт</w:t>
            </w:r>
          </w:p>
        </w:tc>
      </w:tr>
    </w:tbl>
    <w:p>
      <w:pPr>
        <w:spacing w:before="0" w:after="40"/>
      </w:pPr>
    </w:p>
    <w:p>
      <w:pPr>
        <w:spacing w:before="520"/>
        <w:jc w:val="center"/>
      </w:pPr>
      <w:r>
        <w:rPr>
          <w:rFonts w:ascii="Arial" w:hAnsi="Arial" w:eastAsia="Arial"/>
          <w:color w:val="5B6570"/>
          <w:sz w:val="20"/>
        </w:rPr>
        <w:t>Редакция 1.3  •  2026</w:t>
      </w:r>
      <w:r>
        <w:br w:type="page"/>
      </w:r>
    </w:p>
    <w:p>
      <w:pPr>
        <w:pStyle w:val="Heading1"/>
      </w:pPr>
      <w:r>
        <w:t>1. Цель и задачи дисциплины</w:t>
      </w:r>
    </w:p>
    <w:p>
      <w:pPr>
        <w:pStyle w:val="Heading2"/>
      </w:pPr>
      <w:r>
        <w:t>1.1. Цель</w:t>
      </w:r>
    </w:p>
    <w:p>
      <w:r>
        <w:t>Формирование у обучающихся систематизированных знаний и практических навыков выбора, реализации, оценивания и интерпретации классических и нейросетевых моделей классификации с учётом свойств данных, ограничений методов и требований к воспроизводимости эксперимента.</w:t>
      </w:r>
    </w:p>
    <w:p>
      <w:pPr>
        <w:pStyle w:val="Heading2"/>
      </w:pPr>
      <w:r>
        <w:t>1.2. Задачи</w:t>
      </w:r>
    </w:p>
    <w:p>
      <w:pPr>
        <w:spacing w:after="160" w:line="280" w:lineRule="auto"/>
        <w:numPr>
          <w:ilvl w:val="0"/>
          <w:numId w:val="10"/>
        </w:numPr>
      </w:pPr>
      <w:r>
        <w:t>Освоить постановку задачи классификации и корректную организацию ML-эксперимента.</w:t>
      </w:r>
    </w:p>
    <w:p>
      <w:pPr>
        <w:spacing w:after="160" w:line="280" w:lineRule="auto"/>
        <w:numPr>
          <w:ilvl w:val="0"/>
          <w:numId w:val="10"/>
        </w:numPr>
      </w:pPr>
      <w:r>
        <w:t>Научиться анализировать и подготавливать данные без утечки информации.</w:t>
      </w:r>
    </w:p>
    <w:p>
      <w:pPr>
        <w:spacing w:after="160" w:line="280" w:lineRule="auto"/>
        <w:numPr>
          <w:ilvl w:val="0"/>
          <w:numId w:val="10"/>
        </w:numPr>
      </w:pPr>
      <w:r>
        <w:t>Применять метрики, кросс-валидацию и методы работы с дисбалансом классов.</w:t>
      </w:r>
    </w:p>
    <w:p>
      <w:pPr>
        <w:spacing w:after="160" w:line="280" w:lineRule="auto"/>
        <w:numPr>
          <w:ilvl w:val="0"/>
          <w:numId w:val="10"/>
        </w:numPr>
      </w:pPr>
      <w:r>
        <w:t>Реализовывать и сопоставлять логистическую регрессию, SVM, деревья и ансамбли.</w:t>
      </w:r>
    </w:p>
    <w:p>
      <w:pPr>
        <w:spacing w:after="160" w:line="280" w:lineRule="auto"/>
        <w:numPr>
          <w:ilvl w:val="0"/>
          <w:numId w:val="10"/>
        </w:numPr>
      </w:pPr>
      <w:r>
        <w:t>Применять MLP и CNN для классификации табличных данных и изображений.</w:t>
      </w:r>
    </w:p>
    <w:p>
      <w:pPr>
        <w:spacing w:after="160" w:line="280" w:lineRule="auto"/>
        <w:numPr>
          <w:ilvl w:val="0"/>
          <w:numId w:val="10"/>
        </w:numPr>
      </w:pPr>
      <w:r>
        <w:t>Анализировать ошибки, объяснимость, вычислительные характеристики и ограничения моделей.</w:t>
      </w:r>
    </w:p>
    <w:p>
      <w:pPr>
        <w:spacing w:after="160" w:line="280" w:lineRule="auto"/>
        <w:numPr>
          <w:ilvl w:val="0"/>
          <w:numId w:val="10"/>
        </w:numPr>
      </w:pPr>
      <w:r>
        <w:t>Оформлять результаты как воспроизводимое программное решение и аргументированно защищать принятые решения.</w:t>
      </w:r>
    </w:p>
    <w:p>
      <w:pPr>
        <w:pStyle w:val="Heading1"/>
      </w:pPr>
      <w:r>
        <w:t>2. Место дисциплины в образовательной программе</w:t>
      </w:r>
    </w:p>
    <w:p>
      <w:r>
        <w:t>Дисциплина относится к части Блока 1, формируемой участниками образовательных отношений, и изучается в шестом семестре. Она развивает подготовку, полученную при изучении программирования, обработки данных, теории вероятностей и математической статистики, машинного обучения и математических моделей нейронных сетей.</w:t>
      </w:r>
    </w:p>
    <w:p>
      <w:pPr>
        <w:pStyle w:val="Heading2"/>
      </w:pPr>
      <w:r>
        <w:t>2.1. Пререквизиты</w:t>
      </w:r>
    </w:p>
    <w:p>
      <w:r>
        <w:t>К началу освоения дисциплины обучающийся должен:</w:t>
      </w:r>
    </w:p>
    <w:p>
      <w:pPr>
        <w:pStyle w:val="ListBullet"/>
      </w:pPr>
      <w:r>
        <w:t>программировать на Python и работать с массивами, таблицами и файлами;</w:t>
      </w:r>
    </w:p>
    <w:p>
      <w:pPr>
        <w:pStyle w:val="ListBullet"/>
      </w:pPr>
      <w:r>
        <w:t>выполнять очистку, преобразование и визуализацию данных;</w:t>
      </w:r>
    </w:p>
    <w:p>
      <w:pPr>
        <w:pStyle w:val="ListBullet"/>
      </w:pPr>
      <w:r>
        <w:t>понимать выборку, распределение, оценку и статистическую погрешность;</w:t>
      </w:r>
    </w:p>
    <w:p>
      <w:pPr>
        <w:pStyle w:val="ListBullet"/>
      </w:pPr>
      <w:r>
        <w:t>различать обучение с учителем и без учителя;</w:t>
      </w:r>
    </w:p>
    <w:p>
      <w:pPr>
        <w:pStyle w:val="ListBullet"/>
      </w:pPr>
      <w:r>
        <w:t>понимать назначение train, validation и test;</w:t>
      </w:r>
    </w:p>
    <w:p>
      <w:pPr>
        <w:pStyle w:val="ListBullet"/>
      </w:pPr>
      <w:r>
        <w:t>знать понятия нейрона, функции активации, функции потерь и градиентного спуска.</w:t>
      </w:r>
    </w:p>
    <w:p>
      <w:pPr>
        <w:pStyle w:val="Heading2"/>
      </w:pPr>
      <w:r>
        <w:t>2.2. Последующие связи</w:t>
      </w:r>
    </w:p>
    <w:p>
      <w:r>
        <w:t>Результаты дисциплины используются при выполнении НИРС, производственной практики, выпускной квалификационной работы и освоении дисциплин по глубокому обучению, компьютерному зрению, анализу текстов и промышленной разработке систем искусственного интеллекта.</w:t>
      </w:r>
    </w:p>
    <w:p>
      <w:pPr>
        <w:pStyle w:val="Heading1"/>
      </w:pPr>
      <w:r>
        <w:t>3. Планируемые результаты обучения</w:t>
      </w:r>
    </w:p>
    <w:p>
      <w:r>
        <w:t>Дисциплина ориентирована на профессиональные роли Data Analyst, ML Engineer и ML Researcher компетентностно-ролевой модели искусственного интеллекта.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1"/>
          <w:left w:val="single" w:sz="4" w:space="0" w:color="AAB7C1"/>
          <w:bottom w:val="single" w:sz="4" w:space="0" w:color="AAB7C1"/>
          <w:right w:val="single" w:sz="4" w:space="0" w:color="AAB7C1"/>
          <w:insideH w:val="single" w:sz="4" w:space="0" w:color="AAB7C1"/>
          <w:insideV w:val="single" w:sz="4" w:space="0" w:color="AAB7C1"/>
        </w:tblBorders>
      </w:tblPr>
      <w:tblGrid>
        <w:gridCol w:w="1200"/>
        <w:gridCol w:w="7438"/>
        <w:gridCol w:w="100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8"/>
              </w:rPr>
              <w:t>Код</w:t>
            </w:r>
          </w:p>
        </w:tc>
        <w:tc>
          <w:tcPr>
            <w:tcW w:type="dxa" w:w="74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18"/>
              </w:rPr>
              <w:t>Планируемый результат обучения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8"/>
              </w:rPr>
              <w:t>Уровень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ML-2.1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Различает типы задач машинного обучения, выбирает и обосновывает метод решения задачи классификации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Б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ML-2.2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Применяет предварительную обработку данных и работу с признаками без утечки информации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Б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ML-2.3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Оценивает качество моделей, применяет кросс-валидацию и методы работы с дисбалансом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ML-3.1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Обосновывает применение классических методов машинного обучения с учителем и их параметров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ML-3.2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Применяет классические и ансамблевые методы для достижения требуемых характеристик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ML-3.3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Сопоставляет модели и оценивает качество, скорость, объяснимость и ограничения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DL-1.1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Объясняет и применяет функции потерь, градиенты, обратное распространение и оптимизацию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DL-1.2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Реализует MLP и обосновывает архитектуру, активации и функцию потерь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DL-1.3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Применяет современные глубокие архитектуры и анализирует особенности их обучения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DL-1.4</w:t>
            </w:r>
          </w:p>
        </w:tc>
        <w:tc>
          <w:tcPr>
            <w:tcW w:type="dxa" w:w="74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Применяет и настраивает CNN для классификации изображений</w:t>
            </w:r>
          </w:p>
        </w:tc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С</w:t>
            </w:r>
          </w:p>
        </w:tc>
      </w:tr>
    </w:tbl>
    <w:p>
      <w:pPr>
        <w:spacing w:before="0" w:after="40"/>
      </w:pPr>
    </w:p>
    <w:p>
      <w:pPr>
        <w:spacing w:before="100" w:after="160"/>
        <w:ind w:left="255" w:right="255"/>
        <w:shd w:fill="F4F7F9"/>
      </w:pPr>
      <w:r>
        <w:rPr>
          <w:rFonts w:ascii="Arial" w:hAnsi="Arial" w:eastAsia="Arial"/>
          <w:b/>
          <w:color w:val="173B52"/>
          <w:sz w:val="21"/>
        </w:rPr>
        <w:t xml:space="preserve">Уровни: </w:t>
      </w:r>
      <w:r>
        <w:rPr>
          <w:rFonts w:ascii="Arial" w:hAnsi="Arial" w:eastAsia="Arial"/>
          <w:sz w:val="21"/>
        </w:rPr>
        <w:t>Б — выполнение типовой задачи с корректным применением готовых инструментов; С — самостоятельный выбор и обоснование метода, сопоставление альтернатив и анализ ограничений.</w:t>
      </w:r>
    </w:p>
    <w:p>
      <w:pPr>
        <w:pStyle w:val="Heading1"/>
      </w:pPr>
      <w:r>
        <w:t>4. Объём и распределение трудоёмкости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1"/>
          <w:left w:val="single" w:sz="4" w:space="0" w:color="AAB7C1"/>
          <w:bottom w:val="single" w:sz="4" w:space="0" w:color="AAB7C1"/>
          <w:right w:val="single" w:sz="4" w:space="0" w:color="AAB7C1"/>
          <w:insideH w:val="single" w:sz="4" w:space="0" w:color="AAB7C1"/>
          <w:insideV w:val="single" w:sz="4" w:space="0" w:color="AAB7C1"/>
        </w:tblBorders>
      </w:tblPr>
      <w:tblGrid>
        <w:gridCol w:w="7638"/>
        <w:gridCol w:w="2000"/>
      </w:tblGrid>
      <w:tr>
        <w:trPr>
          <w:cantSplit/>
          <w:tblHeader w:val="true"/>
        </w:trPr>
        <w:tc>
          <w:tcPr>
            <w:tcW w:type="dxa" w:w="7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Вид работы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Часы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Лекции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Лабораторные занятия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16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Контроль самостоятельной работы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Промежуточная аттестация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0,2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Самостоятельная работа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37,8</w:t>
            </w:r>
          </w:p>
        </w:tc>
      </w:tr>
      <w:tr>
        <w:trPr>
          <w:cantSplit/>
        </w:trPr>
        <w:tc>
          <w:tcPr>
            <w:tcW w:type="dxa" w:w="7638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Итого</w:t>
            </w:r>
          </w:p>
        </w:tc>
        <w:tc>
          <w:tcPr>
            <w:tcW w:type="dxa" w:w="2000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72</w:t>
            </w:r>
          </w:p>
        </w:tc>
      </w:tr>
    </w:tbl>
    <w:p>
      <w:pPr>
        <w:spacing w:before="0" w:after="40"/>
      </w:pPr>
    </w:p>
    <w:p>
      <w:r>
        <w:t>Контактная работа составляет 34,2 часа, в том числе 32 часа аудиторных занятий.</w:t>
      </w:r>
    </w:p>
    <w:p>
      <w:pPr>
        <w:pStyle w:val="Heading1"/>
      </w:pPr>
      <w:r>
        <w:t>5. Структура и содержание дисциплины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1"/>
          <w:left w:val="single" w:sz="4" w:space="0" w:color="AAB7C1"/>
          <w:bottom w:val="single" w:sz="4" w:space="0" w:color="AAB7C1"/>
          <w:right w:val="single" w:sz="4" w:space="0" w:color="AAB7C1"/>
          <w:insideH w:val="single" w:sz="4" w:space="0" w:color="AAB7C1"/>
          <w:insideV w:val="single" w:sz="4" w:space="0" w:color="AAB7C1"/>
        </w:tblBorders>
      </w:tblPr>
      <w:tblGrid>
        <w:gridCol w:w="420"/>
        <w:gridCol w:w="4300"/>
        <w:gridCol w:w="750"/>
        <w:gridCol w:w="500"/>
        <w:gridCol w:w="500"/>
        <w:gridCol w:w="650"/>
        <w:gridCol w:w="2518"/>
      </w:tblGrid>
      <w:tr>
        <w:trPr>
          <w:cantSplit/>
          <w:tblHeader w:val="true"/>
        </w:trPr>
        <w:tc>
          <w:tcPr>
            <w:tcW w:type="dxa" w:w="4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№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Раздел или тема</w:t>
            </w:r>
          </w:p>
        </w:tc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Всего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Л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ЛР</w:t>
            </w:r>
          </w:p>
        </w:tc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СРС</w:t>
            </w:r>
          </w:p>
        </w:tc>
        <w:tc>
          <w:tcPr>
            <w:tcW w:type="dxa" w:w="25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16"/>
              </w:rPr>
              <w:t>Индикаторы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Постановка задачи классификации, типы признаков и этапы решения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ML-2.1, ML-2.2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Метрики, матрица ошибок, ROC/PR, кросс-валидация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ML-2.3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Логистическая регрессия и регуляризация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ML-3.1, ML-3.3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SVM, разделяющая гиперплоскость и ядра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ML-3.1, ML-3.3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Деревья решений, критерии разбиения и контроль сложности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ML-3.1, ML-3.3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Bagging и Random Forest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ML-3.2, ML-3.3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Boosting: AdaBoost, Gradient Boosting, XGBoost, LightGBM, CatBoost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ML-3.2, ML-3.3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Дисбаланс классов и feature engineering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ML-2.2, ML-2.3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MLP для классификации табличных данных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DL-1.1, DL-1.2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CNN и transfer learning для классификации изображений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DL-1.3, DL-1.4</w:t>
            </w:r>
          </w:p>
        </w:tc>
      </w:tr>
      <w:tr>
        <w:trPr>
          <w:cantSplit/>
        </w:trPr>
        <w:tc>
          <w:tcPr>
            <w:tcW w:type="dxa" w:w="42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4300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Прикладные кейсы, SHAP/LIME и анализ ошибок</w:t>
            </w:r>
          </w:p>
        </w:tc>
        <w:tc>
          <w:tcPr>
            <w:tcW w:type="dxa" w:w="7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6,8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5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65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2,8</w:t>
            </w:r>
          </w:p>
        </w:tc>
        <w:tc>
          <w:tcPr>
            <w:tcW w:type="dxa" w:w="251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ML-2.3, ML-3.3, DL-1.3</w:t>
            </w:r>
          </w:p>
        </w:tc>
      </w:tr>
      <w:tr>
        <w:trPr>
          <w:cantSplit/>
        </w:trPr>
        <w:tc>
          <w:tcPr>
            <w:tcW w:type="dxa" w:w="42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43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По разделам</w:t>
            </w:r>
          </w:p>
        </w:tc>
        <w:tc>
          <w:tcPr>
            <w:tcW w:type="dxa" w:w="7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69,8</w:t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16</w:t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16</w:t>
            </w:r>
          </w:p>
        </w:tc>
        <w:tc>
          <w:tcPr>
            <w:tcW w:type="dxa" w:w="6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37,8</w:t>
            </w:r>
          </w:p>
        </w:tc>
        <w:tc>
          <w:tcPr>
            <w:tcW w:type="dxa" w:w="2518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</w:tr>
      <w:tr>
        <w:trPr>
          <w:cantSplit/>
        </w:trPr>
        <w:tc>
          <w:tcPr>
            <w:tcW w:type="dxa" w:w="42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43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Контроль самостоятельной работы</w:t>
            </w:r>
          </w:p>
        </w:tc>
        <w:tc>
          <w:tcPr>
            <w:tcW w:type="dxa" w:w="7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2</w:t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6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2518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выбранные проектом</w:t>
            </w:r>
          </w:p>
        </w:tc>
      </w:tr>
      <w:tr>
        <w:trPr>
          <w:cantSplit/>
        </w:trPr>
        <w:tc>
          <w:tcPr>
            <w:tcW w:type="dxa" w:w="42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43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Промежуточная аттестация</w:t>
            </w:r>
          </w:p>
        </w:tc>
        <w:tc>
          <w:tcPr>
            <w:tcW w:type="dxa" w:w="7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0,2</w:t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6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2518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выбранные проектом</w:t>
            </w:r>
          </w:p>
        </w:tc>
      </w:tr>
      <w:tr>
        <w:trPr>
          <w:cantSplit/>
        </w:trPr>
        <w:tc>
          <w:tcPr>
            <w:tcW w:type="dxa" w:w="42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4300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Общая трудоёмкость</w:t>
            </w:r>
          </w:p>
        </w:tc>
        <w:tc>
          <w:tcPr>
            <w:tcW w:type="dxa" w:w="7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72</w:t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50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650"/>
            <w:shd w:fill="F4F7F9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2518"/>
            <w:shd w:fill="F4F7F9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5.1. Тематика лабораторных работ</w:t>
      </w:r>
    </w:p>
    <w:p>
      <w:pPr>
        <w:spacing w:after="160" w:line="280" w:lineRule="auto"/>
        <w:numPr>
          <w:ilvl w:val="0"/>
          <w:numId w:val="11"/>
        </w:numPr>
      </w:pPr>
      <w:r>
        <w:t>Постановка задачи, EDA, разбиение данных и базовый pipeline.</w:t>
      </w:r>
    </w:p>
    <w:p>
      <w:pPr>
        <w:spacing w:after="160" w:line="280" w:lineRule="auto"/>
        <w:numPr>
          <w:ilvl w:val="0"/>
          <w:numId w:val="11"/>
        </w:numPr>
      </w:pPr>
      <w:r>
        <w:t>Метрики, кросс-валидация и дисбаланс классов.</w:t>
      </w:r>
    </w:p>
    <w:p>
      <w:pPr>
        <w:spacing w:after="160" w:line="280" w:lineRule="auto"/>
        <w:numPr>
          <w:ilvl w:val="0"/>
          <w:numId w:val="11"/>
        </w:numPr>
      </w:pPr>
      <w:r>
        <w:t>Логистическая регрессия и SVM.</w:t>
      </w:r>
    </w:p>
    <w:p>
      <w:pPr>
        <w:spacing w:after="160" w:line="280" w:lineRule="auto"/>
        <w:numPr>
          <w:ilvl w:val="0"/>
          <w:numId w:val="11"/>
        </w:numPr>
      </w:pPr>
      <w:r>
        <w:t>Деревья решений, Random Forest и boosting.</w:t>
      </w:r>
    </w:p>
    <w:p>
      <w:pPr>
        <w:spacing w:after="160" w:line="280" w:lineRule="auto"/>
        <w:numPr>
          <w:ilvl w:val="0"/>
          <w:numId w:val="11"/>
        </w:numPr>
      </w:pPr>
      <w:r>
        <w:t>MLP для классификации табличных данных.</w:t>
      </w:r>
    </w:p>
    <w:p>
      <w:pPr>
        <w:spacing w:after="160" w:line="280" w:lineRule="auto"/>
        <w:numPr>
          <w:ilvl w:val="0"/>
          <w:numId w:val="11"/>
        </w:numPr>
      </w:pPr>
      <w:r>
        <w:t>CNN и transfer learning для изображений.</w:t>
      </w:r>
    </w:p>
    <w:p>
      <w:r>
        <w:t>Подробные задания, форматы сдачи и критерии приведены в комплекте лабораторных работ репозитория: src/kims/laboratory_works.md.</w:t>
      </w:r>
    </w:p>
    <w:p>
      <w:pPr>
        <w:pStyle w:val="Heading2"/>
      </w:pPr>
      <w:r>
        <w:t>5.2. Самостоятельная работа</w:t>
      </w:r>
    </w:p>
    <w:p>
      <w:r>
        <w:t>Самостоятельная работа включает подготовку к лабораторным занятиям и текущему контролю, изучение аннотированной литературы, выполнение экспериментов, ведение репозитория проекта, подготовку peer-review, отчёта и презентации.</w:t>
      </w:r>
    </w:p>
    <w:p>
      <w:pPr>
        <w:spacing w:before="100" w:after="160"/>
        <w:ind w:left="255" w:right="255"/>
        <w:shd w:fill="F4F7F9"/>
      </w:pPr>
      <w:r>
        <w:rPr>
          <w:rFonts w:ascii="Arial" w:hAnsi="Arial" w:eastAsia="Arial"/>
          <w:b/>
          <w:color w:val="173B52"/>
          <w:sz w:val="21"/>
        </w:rPr>
        <w:t xml:space="preserve">Особенность: </w:t>
      </w:r>
      <w:r>
        <w:rPr>
          <w:rFonts w:ascii="Arial" w:hAnsi="Arial" w:eastAsia="Arial"/>
          <w:sz w:val="21"/>
        </w:rPr>
        <w:t>курсовая работа учебным планом не предусмотрена. Сквозной проект является комплексным оценочным средством дисциплины.</w:t>
      </w:r>
    </w:p>
    <w:p>
      <w:pPr>
        <w:pStyle w:val="Heading1"/>
      </w:pPr>
      <w:r>
        <w:t>6. Образовательные технологии</w:t>
      </w:r>
    </w:p>
    <w:p>
      <w:r>
        <w:t>Используются проблемные лекции, разборы ошибок, демонстрации воспроизводимых экспериментов, лабораторные работы, проектное обучение, peer-review и защита перед комиссией. Работа выполняется с применением Git, Python, scikit-learn и PyTorch.</w:t>
      </w:r>
    </w:p>
    <w:p>
      <w:r>
        <w:t>Генеративный искусственный интеллект допускается как средство анализа кода и документации при обязательной проверке результатов, раскрытии существенных промптов и соблюдении требований конфиденциальности.</w:t>
      </w:r>
    </w:p>
    <w:p>
      <w:pPr>
        <w:pStyle w:val="Heading1"/>
      </w:pPr>
      <w:r>
        <w:t>7. Оценивание результатов обучения</w:t>
      </w:r>
    </w:p>
    <w:p>
      <w:pPr>
        <w:pStyle w:val="Heading2"/>
      </w:pPr>
      <w:r>
        <w:t>7.1. Распределение баллов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AB7C1"/>
          <w:left w:val="single" w:sz="4" w:space="0" w:color="AAB7C1"/>
          <w:bottom w:val="single" w:sz="4" w:space="0" w:color="AAB7C1"/>
          <w:right w:val="single" w:sz="4" w:space="0" w:color="AAB7C1"/>
          <w:insideH w:val="single" w:sz="4" w:space="0" w:color="AAB7C1"/>
          <w:insideV w:val="single" w:sz="4" w:space="0" w:color="AAB7C1"/>
        </w:tblBorders>
      </w:tblPr>
      <w:tblGrid>
        <w:gridCol w:w="7638"/>
        <w:gridCol w:w="2000"/>
      </w:tblGrid>
      <w:tr>
        <w:trPr>
          <w:cantSplit/>
          <w:tblHeader w:val="true"/>
        </w:trPr>
        <w:tc>
          <w:tcPr>
            <w:tcW w:type="dxa" w:w="76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Оценочное средство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73B52"/>
                <w:sz w:val="20"/>
              </w:rPr>
              <w:t>Баллы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ЛР1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ЛР2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ЛР3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ЛР4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ЛР5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ЛР6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Сквозной проект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25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Peer-review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7638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 w:val="0"/>
                <w:sz w:val="20"/>
              </w:rPr>
              <w:t>Защита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7638"/>
            <w:shd w:fill="E8EEF3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Итого</w:t>
            </w:r>
          </w:p>
        </w:tc>
        <w:tc>
          <w:tcPr>
            <w:tcW w:type="dxa" w:w="2000"/>
            <w:shd w:fill="E8EEF3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100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7.2. Условия зачёта</w:t>
      </w:r>
    </w:p>
    <w:p>
      <w:pPr>
        <w:pStyle w:val="ListBullet"/>
      </w:pPr>
      <w:r>
        <w:t>итоговая сумма — не менее 60 баллов;</w:t>
      </w:r>
    </w:p>
    <w:p>
      <w:pPr>
        <w:pStyle w:val="ListBullet"/>
      </w:pPr>
      <w:r>
        <w:t>проект сдан и получил не менее 15 из 25 баллов;</w:t>
      </w:r>
    </w:p>
    <w:p>
      <w:pPr>
        <w:pStyle w:val="ListBullet"/>
      </w:pPr>
      <w:r>
        <w:t>защита получила не менее 4 из 10 баллов;</w:t>
      </w:r>
    </w:p>
    <w:p>
      <w:pPr>
        <w:pStyle w:val="ListBullet"/>
      </w:pPr>
      <w:r>
        <w:t>отсутствуют критические дефекты: утечка test или целевой переменной, невоспроизводимый результат, неатрибутированное заимствование.</w:t>
      </w:r>
    </w:p>
    <w:p>
      <w:pPr>
        <w:spacing w:before="100" w:after="160"/>
        <w:ind w:left="255" w:right="255"/>
        <w:shd w:fill="F4F7F9"/>
      </w:pPr>
      <w:r>
        <w:rPr>
          <w:rFonts w:ascii="Arial" w:hAnsi="Arial" w:eastAsia="Arial"/>
          <w:b/>
          <w:color w:val="173B52"/>
          <w:sz w:val="21"/>
        </w:rPr>
        <w:t xml:space="preserve">Шкала: </w:t>
      </w:r>
      <w:r>
        <w:rPr>
          <w:rFonts w:ascii="Arial" w:hAnsi="Arial" w:eastAsia="Arial"/>
          <w:sz w:val="21"/>
        </w:rPr>
        <w:t>90–100 — высокий уровень; 75–89 — повышенный; 60–74 — пороговый; менее 60 — результаты не подтверждены.</w:t>
      </w:r>
    </w:p>
    <w:p>
      <w:pPr>
        <w:pStyle w:val="Heading2"/>
      </w:pPr>
      <w:r>
        <w:t>7.3. Формы контроля</w:t>
      </w:r>
    </w:p>
    <w:p>
      <w:pPr>
        <w:pStyle w:val="ListBullet"/>
      </w:pPr>
      <w:r>
        <w:t>входная диагностика без начисления баллов;</w:t>
      </w:r>
    </w:p>
    <w:p>
      <w:pPr>
        <w:pStyle w:val="ListBullet"/>
      </w:pPr>
      <w:r>
        <w:t>текущие вопросы и мини-задания;</w:t>
      </w:r>
    </w:p>
    <w:p>
      <w:pPr>
        <w:pStyle w:val="ListBullet"/>
      </w:pPr>
      <w:r>
        <w:t>лабораторные работы;</w:t>
      </w:r>
    </w:p>
    <w:p>
      <w:pPr>
        <w:pStyle w:val="ListBullet"/>
      </w:pPr>
      <w:r>
        <w:t>рубежный контроль по данным и сравнению моделей;</w:t>
      </w:r>
    </w:p>
    <w:p>
      <w:pPr>
        <w:pStyle w:val="ListBullet"/>
      </w:pPr>
      <w:r>
        <w:t>сквозной проект и peer-review;</w:t>
      </w:r>
    </w:p>
    <w:p>
      <w:pPr>
        <w:pStyle w:val="ListBullet"/>
      </w:pPr>
      <w:r>
        <w:t>зачёт в форме защиты проекта и ответов на вопросы.</w:t>
      </w:r>
    </w:p>
    <w:p>
      <w:r>
        <w:t>Полное соответствие индикаторов, КИМ и ресурсов представлено в модели измерения: docs/measurement_model.md.</w:t>
      </w:r>
    </w:p>
    <w:p>
      <w:pPr>
        <w:pStyle w:val="Heading1"/>
      </w:pPr>
      <w:r>
        <w:t>8. Методическое обеспечение</w:t>
      </w:r>
    </w:p>
    <w:p>
      <w:pPr>
        <w:pStyle w:val="ListBullet"/>
      </w:pPr>
      <w:r>
        <w:t>методические указания для студентов — methodology/students.md;</w:t>
      </w:r>
    </w:p>
    <w:p>
      <w:pPr>
        <w:pStyle w:val="ListBullet"/>
      </w:pPr>
      <w:r>
        <w:t>методические указания для преподавателей — methodology/teachers.md;</w:t>
      </w:r>
    </w:p>
    <w:p>
      <w:pPr>
        <w:pStyle w:val="ListBullet"/>
      </w:pPr>
      <w:r>
        <w:t>правила использования ресурсов и формирования КИМ — methodology/resource_usage.md;</w:t>
      </w:r>
    </w:p>
    <w:p>
      <w:pPr>
        <w:pStyle w:val="ListBullet"/>
      </w:pPr>
      <w:r>
        <w:t>критерии проекта — docs/project_criteria.md;</w:t>
      </w:r>
    </w:p>
    <w:p>
      <w:pPr>
        <w:pStyle w:val="ListBullet"/>
      </w:pPr>
      <w:r>
        <w:t>регламент peer-review — docs/peer_review.md;</w:t>
      </w:r>
    </w:p>
    <w:p>
      <w:pPr>
        <w:pStyle w:val="ListBullet"/>
      </w:pPr>
      <w:r>
        <w:t>критерии защиты — docs/commission_criteria.md.</w:t>
      </w:r>
    </w:p>
    <w:p>
      <w:pPr>
        <w:pStyle w:val="Heading1"/>
      </w:pPr>
      <w:r>
        <w:t>9. Учебно-информационное и программное обеспечение</w:t>
      </w:r>
    </w:p>
    <w:p>
      <w:pPr>
        <w:pStyle w:val="Heading2"/>
      </w:pPr>
      <w:r>
        <w:t>9.1. Основная литература</w:t>
      </w:r>
    </w:p>
    <w:p>
      <w:pPr>
        <w:spacing w:after="160" w:line="280" w:lineRule="auto"/>
        <w:numPr>
          <w:ilvl w:val="0"/>
          <w:numId w:val="12"/>
        </w:numPr>
      </w:pPr>
      <w:r>
        <w:t>Bishop C. Pattern Recognition and Machine Learning.</w:t>
      </w:r>
    </w:p>
    <w:p>
      <w:pPr>
        <w:spacing w:after="160" w:line="280" w:lineRule="auto"/>
        <w:numPr>
          <w:ilvl w:val="0"/>
          <w:numId w:val="12"/>
        </w:numPr>
      </w:pPr>
      <w:r>
        <w:t>Hastie T., Tibshirani R., Friedman J. The Elements of Statistical Learning.</w:t>
      </w:r>
    </w:p>
    <w:p>
      <w:pPr>
        <w:spacing w:after="160" w:line="280" w:lineRule="auto"/>
        <w:numPr>
          <w:ilvl w:val="0"/>
          <w:numId w:val="12"/>
        </w:numPr>
      </w:pPr>
      <w:r>
        <w:t>Goodfellow I., Bengio Y., Courville A. Deep Learning.</w:t>
      </w:r>
    </w:p>
    <w:p>
      <w:pPr>
        <w:spacing w:after="160" w:line="280" w:lineRule="auto"/>
        <w:numPr>
          <w:ilvl w:val="0"/>
          <w:numId w:val="12"/>
        </w:numPr>
      </w:pPr>
      <w:r>
        <w:t>Géron A. Hands-On Machine Learning with Scikit-Learn, Keras, and TensorFlow.</w:t>
      </w:r>
    </w:p>
    <w:p>
      <w:r>
        <w:t>Аннотации и назначение источников приведены в resources/literature.md.</w:t>
      </w:r>
    </w:p>
    <w:p>
      <w:pPr>
        <w:pStyle w:val="Heading2"/>
      </w:pPr>
      <w:r>
        <w:t>9.2. Электронные ресурсы</w:t>
      </w:r>
    </w:p>
    <w:p>
      <w:pPr>
        <w:pStyle w:val="ListBullet"/>
      </w:pPr>
      <w:r>
        <w:t>документация scikit-learn — https://scikit-learn.org/stable/user_guide.html;</w:t>
      </w:r>
    </w:p>
    <w:p>
      <w:pPr>
        <w:pStyle w:val="ListBullet"/>
      </w:pPr>
      <w:r>
        <w:t>документация PyTorch — https://pytorch.org/docs/stable/index.html;</w:t>
      </w:r>
    </w:p>
    <w:p>
      <w:pPr>
        <w:pStyle w:val="ListBullet"/>
      </w:pPr>
      <w:r>
        <w:t>UCI Machine Learning Repository — https://archive.ics.uci.edu/;</w:t>
      </w:r>
    </w:p>
    <w:p>
      <w:pPr>
        <w:pStyle w:val="ListBullet"/>
      </w:pPr>
      <w:r>
        <w:t>документация SHAP — https://shap.readthedocs.io/en/latest/.</w:t>
      </w:r>
    </w:p>
    <w:p>
      <w:pPr>
        <w:pStyle w:val="Heading2"/>
      </w:pPr>
      <w:r>
        <w:t>9.3. Программное обеспечение</w:t>
      </w:r>
    </w:p>
    <w:p>
      <w:r>
        <w:t>Python 3.10+, NumPy, SciPy, scikit-learn, Matplotlib, Seaborn, PyTorch, torchvision, SHAP, Jupyter и Git. Конкретные версии фиксируются в окружении студенческого проекта.</w:t>
      </w:r>
    </w:p>
    <w:p>
      <w:pPr>
        <w:pStyle w:val="Heading1"/>
      </w:pPr>
      <w:r>
        <w:t>10. Материально-техническое обеспечение</w:t>
      </w:r>
    </w:p>
    <w:p>
      <w:r>
        <w:t>Для проведения занятий необходим компьютерный класс с доступом к Git-репозиторию и возможностью запуска Python. Для ЛР1–ЛР5 достаточно современного CPU и 8 ГБ оперативной памяти. Для ЛР6 рекомендуется GPU либо использование небольшого набора данных и предобученной компактной модели.</w:t>
      </w:r>
    </w:p>
    <w:p>
      <w:pPr>
        <w:pStyle w:val="Heading1"/>
      </w:pPr>
      <w:r>
        <w:t>11. Обучение лиц с ограниченными возможностями здоровья</w:t>
      </w:r>
    </w:p>
    <w:p>
      <w:r>
        <w:t>Материалы предоставляются в электронной форме. При необходимости увеличивается время выполнения, изменяется способ представления ответа, предоставляются текстовые описания визуализаций и обеспечивается совместимость материалов со средствами экранного доступа. Изменение формы не должно снижать проверяемый уровень результата обучения.</w:t>
      </w:r>
    </w:p>
    <w:p>
      <w:pPr>
        <w:pStyle w:val="Heading1"/>
      </w:pPr>
      <w:r>
        <w:t>12. Актуализация программы</w:t>
      </w:r>
    </w:p>
    <w:p>
      <w:r>
        <w:t>Программа пересматривается по итогам потока с учётом результатов пилотной валидации ФОС, межэкспертных расхождений, изменений КРМ и существенных изменений инструментов. Изменения фиксируются в CHANGELOG.md репозитория.</w:t>
      </w:r>
    </w:p>
    <w:p>
      <w:pPr>
        <w:spacing w:before="100" w:after="160"/>
        <w:ind w:left="255" w:right="255"/>
        <w:shd w:fill="F4F7F9"/>
      </w:pPr>
      <w:r>
        <w:rPr>
          <w:rFonts w:ascii="Arial" w:hAnsi="Arial" w:eastAsia="Arial"/>
          <w:b/>
          <w:color w:val="173B52"/>
          <w:sz w:val="21"/>
        </w:rPr>
        <w:t xml:space="preserve">Примечание: </w:t>
      </w:r>
      <w:r>
        <w:rPr>
          <w:rFonts w:ascii="Arial" w:hAnsi="Arial" w:eastAsia="Arial"/>
          <w:sz w:val="21"/>
        </w:rPr>
        <w:t>проект программы подготовлен на основе исходной РПД и аннотации Б1.В.05, КРМ 3.0 и комплексного ФОС дисциплины. Поля утверждения, сведения о разработчике, протокол кафедры и иные административные реквизиты заполняются уполномоченным подразделением вуза.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B657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color w:val="5B6570"/>
        <w:sz w:val="17"/>
      </w:rPr>
      <w:t>Б1.В.05  |  Рабочая программа дисциплины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 w:eastAsia="Aria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both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B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дисциплины Б1.В.05</dc:title>
  <dc:subject>Методы искусственного интеллекта в задачах классификации</dc:subject>
  <dc:creator>Проект для согласования</dc:creator>
  <cp:keywords>РПД, искусственный интеллект, классификация, КРМ 3.0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