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ФОНД ОЦЕНОЧНЫХ СРЕДСТВ</w:t>
      </w:r>
    </w:p>
    <w:p>
      <w:pPr>
        <w:jc w:val="center"/>
      </w:pPr>
      <w:r>
        <w:rPr>
          <w:sz w:val="22"/>
        </w:rPr>
        <w:t>Б1.В.05 «Методы искусственного интеллекта в задачах классификации»</w:t>
      </w:r>
    </w:p>
    <w:p>
      <w:pPr>
        <w:jc w:val="center"/>
      </w:pPr>
      <w:r>
        <w:rPr>
          <w:rFonts w:ascii="Arial" w:hAnsi="Arial"/>
          <w:sz w:val="20"/>
        </w:rPr>
        <w:t>Дата подготовки: 15 июля 2026 г.</w:t>
      </w:r>
    </w:p>
    <w:p>
      <w:pPr>
        <w:pStyle w:val="Heading1"/>
      </w:pPr>
      <w:r>
        <w:t>1. Паспорт</w:t>
      </w:r>
    </w:p>
    <w:p>
      <w:r>
        <w:t>Направление 02.03.03 «Математическое обеспечение и администрирование информационных систем», профиль «Искусственный интеллект и аналитика данных»; бакалавриат, 3 курс, 6 семестр; 2 з.е. (72 ч.); форма аттестации — зачёт.</w:t>
      </w:r>
    </w:p>
    <w:p>
      <w:r>
        <w:t>Назначение: единообразная проверка ML-2, ML-3 и DL-1 в ходе лабораторных работ и сквозного проекта классификации.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D9EAF7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Оценочное средство</w:t>
            </w:r>
          </w:p>
        </w:tc>
        <w:tc>
          <w:tcPr>
            <w:tcW w:type="dxa" w:w="4847"/>
            <w:shd w:fill="D9EAF7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Вес</w:t>
            </w:r>
          </w:p>
        </w:tc>
      </w:tr>
      <w:tr>
        <w:trPr>
          <w:cantSplit/>
          <w:cantSplit/>
        </w:trPr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ЛР1: EDA, разбиение данных, базовый pipeline</w:t>
            </w:r>
          </w:p>
        </w:tc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8%</w:t>
            </w:r>
          </w:p>
        </w:tc>
      </w:tr>
      <w:tr>
        <w:trPr>
          <w:cantSplit/>
          <w:cantSplit/>
        </w:trPr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ЛР2: Метрики, кросс-валидация и дисбаланс классов</w:t>
            </w:r>
          </w:p>
        </w:tc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8%</w:t>
            </w:r>
          </w:p>
        </w:tc>
      </w:tr>
      <w:tr>
        <w:trPr>
          <w:cantSplit/>
          <w:cantSplit/>
        </w:trPr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ЛР3: Логистическая регрессия и SVM</w:t>
            </w:r>
          </w:p>
        </w:tc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8%</w:t>
            </w:r>
          </w:p>
        </w:tc>
      </w:tr>
      <w:tr>
        <w:trPr>
          <w:cantSplit/>
          <w:cantSplit/>
        </w:trPr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ЛР4: Деревья решений, Random Forest и boosting</w:t>
            </w:r>
          </w:p>
        </w:tc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8%</w:t>
            </w:r>
          </w:p>
        </w:tc>
      </w:tr>
      <w:tr>
        <w:trPr>
          <w:cantSplit/>
          <w:cantSplit/>
        </w:trPr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ЛР5: MLP для классификации табличных данных</w:t>
            </w:r>
          </w:p>
        </w:tc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8%</w:t>
            </w:r>
          </w:p>
        </w:tc>
      </w:tr>
      <w:tr>
        <w:trPr>
          <w:cantSplit/>
          <w:cantSplit/>
        </w:trPr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ЛР6: CNN и transfer learning для изображений</w:t>
            </w:r>
          </w:p>
        </w:tc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8%</w:t>
            </w:r>
          </w:p>
        </w:tc>
      </w:tr>
      <w:tr>
        <w:trPr>
          <w:cantSplit/>
          <w:cantSplit/>
        </w:trPr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Текущий и рубежный контроль</w:t>
            </w:r>
          </w:p>
        </w:tc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12%</w:t>
            </w:r>
          </w:p>
        </w:tc>
      </w:tr>
      <w:tr>
        <w:trPr>
          <w:cantSplit/>
          <w:cantSplit/>
        </w:trPr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Проект: Сквозное программное решение задачи классификации</w:t>
            </w:r>
          </w:p>
        </w:tc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rPr>
          <w:cantSplit/>
          <w:cantSplit/>
        </w:trPr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Peer-review: Перекрестная экспертиза проекта</w:t>
            </w:r>
          </w:p>
        </w:tc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5%</w:t>
            </w:r>
          </w:p>
        </w:tc>
      </w:tr>
      <w:tr>
        <w:trPr>
          <w:cantSplit/>
          <w:cantSplit/>
        </w:trPr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Защита: Презентация и ответы комиссии</w:t>
            </w:r>
          </w:p>
        </w:tc>
        <w:tc>
          <w:tcPr>
            <w:tcW w:type="dxa" w:w="4847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10%</w:t>
            </w:r>
          </w:p>
        </w:tc>
      </w:tr>
    </w:tbl>
    <w:p>
      <w:pPr>
        <w:spacing w:before="100" w:after="120"/>
      </w:pPr>
      <w:r>
        <w:rPr>
          <w:rFonts w:ascii="Arial" w:hAnsi="Arial"/>
          <w:sz w:val="20"/>
        </w:rPr>
        <w:t>В составе единого средства «Текущий и рубежный контроль» до 6 баллов начисляется за три тематические текущие проверки и до 6 баллов — за два рубежных контроля. Входная диагностика проводится без начисления баллов.</w:t>
      </w:r>
    </w:p>
    <w:p>
      <w:pPr>
        <w:pStyle w:val="Heading2"/>
      </w:pPr>
      <w:r>
        <w:t>Условия зачёта</w:t>
      </w:r>
    </w:p>
    <w:p>
      <w:pPr>
        <w:pStyle w:val="ListBullet"/>
      </w:pPr>
      <w:r>
        <w:t>Итог не менее 60/100.</w:t>
      </w:r>
    </w:p>
    <w:p>
      <w:pPr>
        <w:pStyle w:val="ListBullet"/>
      </w:pPr>
      <w:r>
        <w:t>Проект сдан и получил не менее 15/25.</w:t>
      </w:r>
    </w:p>
    <w:p>
      <w:pPr>
        <w:pStyle w:val="ListBullet"/>
      </w:pPr>
      <w:r>
        <w:t>Защита не ниже 4/10.</w:t>
      </w:r>
    </w:p>
    <w:p>
      <w:pPr>
        <w:pStyle w:val="ListBullet"/>
      </w:pPr>
      <w:r>
        <w:t>Нет критического дефекта: утечки тестовой выборки, невоспроизводимого результата или заимствования без атрибуции.</w:t>
      </w:r>
    </w:p>
    <w:p>
      <w:r>
        <w:t>Шкала: 90–100 — высокий уровень; 75–89 — повышенный; 60–74 — пороговый; 0–59 — результаты не подтверждены.</w:t>
      </w:r>
    </w:p>
    <w:p>
      <w:pPr>
        <w:pStyle w:val="Heading1"/>
      </w:pPr>
      <w:r>
        <w:t>Роли и результаты КРМ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D9EAF7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Код</w:t>
            </w:r>
          </w:p>
        </w:tc>
        <w:tc>
          <w:tcPr>
            <w:tcW w:type="dxa" w:w="4847"/>
            <w:shd w:fill="D9EAF7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Результат</w:t>
            </w:r>
          </w:p>
        </w:tc>
      </w:tr>
      <w:tr>
        <w:trPr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ML-2.1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Различает типы задач МО, выбирает и обосновывает метод решения задачи классификации.</w:t>
            </w:r>
          </w:p>
        </w:tc>
      </w:tr>
      <w:tr>
        <w:trPr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ML-2.2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Применяет предварительную обработку данных и работу с признаками.</w:t>
            </w:r>
          </w:p>
        </w:tc>
      </w:tr>
      <w:tr>
        <w:trPr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ML-2.3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Оценивает качество моделей, применяет кросс-валидацию и методы работы с дисбалансом.</w:t>
            </w:r>
          </w:p>
        </w:tc>
      </w:tr>
      <w:tr>
        <w:trPr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ML-3.1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Обосновывает применение классических методов МО с учителем и их параметров.</w:t>
            </w:r>
          </w:p>
        </w:tc>
      </w:tr>
      <w:tr>
        <w:trPr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ML-3.2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Применяет классические и ансамблевые методы для достижения требуемых характеристик.</w:t>
            </w:r>
          </w:p>
        </w:tc>
      </w:tr>
      <w:tr>
        <w:trPr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ML-3.3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Сопоставляет модели с аналогами и оценивает ограничения, объяснимость и ресурсоемкость.</w:t>
            </w:r>
          </w:p>
        </w:tc>
      </w:tr>
      <w:tr>
        <w:trPr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DL-1.1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Объясняет и применяет основы обучения нейронных сетей: функции потерь, градиенты и оптимизацию.</w:t>
            </w:r>
          </w:p>
        </w:tc>
      </w:tr>
      <w:tr>
        <w:trPr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DL-1.2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Реализует MLP и выбирает архитектуру, активации и функцию потерь для классификации.</w:t>
            </w:r>
          </w:p>
        </w:tc>
      </w:tr>
      <w:tr>
        <w:trPr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DL-1.3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Применяет современные глубокие архитектуры и понимает особенности их обучения.</w:t>
            </w:r>
          </w:p>
        </w:tc>
      </w:tr>
      <w:tr>
        <w:trPr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DL-1.4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Применяет и настраивает CNN для классификации изображений.</w:t>
            </w:r>
          </w:p>
        </w:tc>
      </w:tr>
    </w:tbl>
    <w:p>
      <w:pPr>
        <w:pStyle w:val="Heading1"/>
      </w:pPr>
      <w:r>
        <w:t>Матрица оценочных средств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D9EAF7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Индикатор</w:t>
            </w:r>
          </w:p>
        </w:tc>
        <w:tc>
          <w:tcPr>
            <w:tcW w:type="dxa" w:w="4847"/>
            <w:shd w:fill="D9EAF7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Средства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ML-2.1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ЛР1, Текущий и рубежный контроль, Проект, Защита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ML-2.2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ЛР1, Текущий и рубежный контроль, Проект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ML-2.3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ЛР2, Текущий и рубежный контроль, Проект, Peer-review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ML-3.1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ЛР3, Текущий и рубежный контроль, Проект, Защита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ML-3.2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ЛР4, Текущий и рубежный контроль, Проект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ML-3.3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ЛР3, ЛР4, Текущий и рубежный контроль, Проект, Peer-review, Защита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DL-1.1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ЛР5, Текущий и рубежный контроль, Проект, Защита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DL-1.2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ЛР5, Текущий и рубежный контроль, Проект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DL-1.3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ЛР6, Текущий и рубежный контроль, Проект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DL-1.4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ЛР6, Текущий и рубежный контроль, Проект</w:t>
            </w:r>
          </w:p>
        </w:tc>
      </w:tr>
    </w:tbl>
    <w:p>
      <w:pPr>
        <w:pStyle w:val="Heading1"/>
      </w:pPr>
      <w:r>
        <w:t>Рубрика проекта</w:t>
      </w:r>
    </w:p>
    <w:p>
      <w:r>
        <w:t>Ось A. Программное решение — 60%: постановка и baseline — 10%; данные и отсутствие утечки — 15%; реализация и воспроизводимость — 15%; экспериментальный дизайн — 10%; качество и анализ ошибок — 10%.</w:t>
      </w:r>
    </w:p>
    <w:p>
      <w:r>
        <w:t>Ось B. Документация — 40%: структура и инструкция запуска — 10%; обоснование методов и метрик — 10%; представление результатов — 10%; ограничения, этика и выводы — 10%.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D9EAF7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Уровень</w:t>
            </w:r>
          </w:p>
        </w:tc>
        <w:tc>
          <w:tcPr>
            <w:tcW w:type="dxa" w:w="4847"/>
            <w:shd w:fill="D9EAF7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Дескриптор</w:t>
            </w:r>
          </w:p>
        </w:tc>
      </w:tr>
      <w:tr>
        <w:trPr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Полное, воспроизводимое и методически обоснованное решение; выводы подтверждены.</w:t>
            </w:r>
          </w:p>
        </w:tc>
      </w:tr>
      <w:tr>
        <w:trPr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Требования выполнены; небольшие недочёты не влияют на выводы.</w:t>
            </w:r>
          </w:p>
        </w:tc>
      </w:tr>
      <w:tr>
        <w:trPr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Работоспособный минимум; анализ и обоснование частично поверхностны.</w:t>
            </w:r>
          </w:p>
        </w:tc>
      </w:tr>
      <w:tr>
        <w:trPr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Фрагментарное решение с существенными пробелами.</w:t>
            </w:r>
          </w:p>
        </w:tc>
      </w:tr>
      <w:tr>
        <w:trPr>
          <w:cantSplit/>
          <w:cantSplit/>
        </w:trPr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0–3</w:t>
            </w:r>
          </w:p>
        </w:tc>
        <w:tc>
          <w:tcPr>
            <w:tcW w:type="dxa" w:w="484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Результат не подтверждён, невоспроизводим или содержит критические ошибки.</w:t>
            </w:r>
          </w:p>
        </w:tc>
      </w:tr>
    </w:tbl>
    <w:p>
      <w:pPr>
        <w:pStyle w:val="Heading1"/>
      </w:pPr>
      <w:r>
        <w:t>Peer-review и защита</w:t>
      </w:r>
    </w:p>
    <w:p>
      <w:r>
        <w:t>Каждый проект получает две независимые рецензии. Проверяются постановка, данные, утечки, baseline, валидация, метрики, модели, анализ ошибок, воспроизводимость и документация. Обязательны сильные стороны, риски и три проверяемые рекомендации.</w:t>
      </w:r>
    </w:p>
    <w:p>
      <w:r>
        <w:t>Защита: доклад 7 минут, демонстрация 3 минуты, вопросы 5 минут. Комиссия оценивает ясность постановки, методическую корректность, обоснование решений, достоверность результатов, демонстрацию, ответы и ролевой вклад по КРМ.</w:t>
      </w:r>
    </w:p>
    <w:sectPr w:rsidR="00FC693F" w:rsidRPr="0006063C" w:rsidSect="00034616">
      <w:pgSz w:w="11906" w:h="16838"/>
      <w:pgMar w:top="850" w:right="964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Фонд оценочных средств Б1.В.05</dc:title>
  <dc:subject>Редакция 1.4: текущий и рубежный контроль — 12 баллов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