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86.0" w:type="dxa"/>
        <w:jc w:val="left"/>
        <w:tblInd w:w="-108.0" w:type="dxa"/>
        <w:tblLayout w:type="fixed"/>
        <w:tblLook w:val="0000"/>
      </w:tblPr>
      <w:tblGrid>
        <w:gridCol w:w="1415"/>
        <w:gridCol w:w="8471"/>
        <w:tblGridChange w:id="0">
          <w:tblGrid>
            <w:gridCol w:w="1415"/>
            <w:gridCol w:w="8471"/>
          </w:tblGrid>
        </w:tblGridChange>
      </w:tblGrid>
      <w:tr>
        <w:tc>
          <w:tcPr>
            <w:shd w:fill="auto" w:val="clear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b="0" l="0" r="0" t="0"/>
                  <wp:wrapSquare wrapText="bothSides" distB="0" distT="0" distL="114300" distR="114300"/>
                  <wp:docPr descr="Gerb-BMSTU_01" id="5" name="image1.jpg"/>
                  <a:graphic>
                    <a:graphicData uri="http://schemas.openxmlformats.org/drawingml/2006/picture">
                      <pic:pic>
                        <pic:nvPicPr>
                          <pic:cNvPr descr="Gerb-BMSTU_01" id="0" name="image1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Министерство науки и высшего образования Российской Федерации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Федеральное государственное бюджетное образовательное учреждение 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высшего образования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ind w:right="-2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«Московский государственный технический университет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ind w:right="-2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имени Н.Э. Баумана</w:t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(национальный исследовательский университет)»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(МГТУ им. Н.Э. Баумана)</w:t>
            </w:r>
          </w:p>
        </w:tc>
      </w:tr>
    </w:tbl>
    <w:p w:rsidR="00000000" w:rsidDel="00000000" w:rsidP="00000000" w:rsidRDefault="00000000" w:rsidRPr="00000000" w14:paraId="0000000A">
      <w:pPr>
        <w:pBdr>
          <w:bottom w:color="000000" w:space="1" w:sz="24" w:val="single"/>
        </w:pBd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ФАКУЛЬТЕТ </w:t>
      </w: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4"/>
          <w:szCs w:val="24"/>
          <w:rtl w:val="0"/>
        </w:rPr>
        <w:t xml:space="preserve">ИНФОРМАТИКА И СИСТЕМЫ УПРАВЛЕНИЯ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КАФЕДРА </w:t>
      </w: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4"/>
          <w:szCs w:val="24"/>
          <w:rtl w:val="0"/>
        </w:rPr>
        <w:t xml:space="preserve">Программное обеспечение ЭВМ и информационные технологии (ИУ7)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hd w:fill="ffffff" w:val="clear"/>
        <w:spacing w:after="240" w:before="70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ОТЧЕТ</w:t>
      </w:r>
    </w:p>
    <w:tbl>
      <w:tblPr>
        <w:tblStyle w:val="Table2"/>
        <w:tblW w:w="4678.0" w:type="dxa"/>
        <w:jc w:val="left"/>
        <w:tblInd w:w="2268.0" w:type="dxa"/>
        <w:tblLayout w:type="fixed"/>
        <w:tblLook w:val="0000"/>
      </w:tblPr>
      <w:tblGrid>
        <w:gridCol w:w="3968"/>
        <w:gridCol w:w="710"/>
        <w:tblGridChange w:id="0">
          <w:tblGrid>
            <w:gridCol w:w="3968"/>
            <w:gridCol w:w="710"/>
          </w:tblGrid>
        </w:tblGridChange>
      </w:tblGrid>
      <w:tr>
        <w:tc>
          <w:tcPr>
            <w:shd w:fill="auto" w:val="clear"/>
          </w:tcPr>
          <w:p w:rsidR="00000000" w:rsidDel="00000000" w:rsidP="00000000" w:rsidRDefault="00000000" w:rsidRPr="00000000" w14:paraId="00000011">
            <w:pPr>
              <w:widowControl w:val="0"/>
              <w:shd w:fill="ffffff" w:val="clear"/>
              <w:spacing w:line="240" w:lineRule="auto"/>
              <w:jc w:val="right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white"/>
                <w:rtl w:val="0"/>
              </w:rPr>
              <w:t xml:space="preserve">по лабораторной работе №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-25399</wp:posOffset>
                      </wp:positionH>
                      <wp:positionV relativeFrom="paragraph">
                        <wp:posOffset>177800</wp:posOffset>
                      </wp:positionV>
                      <wp:extent cx="362585" cy="12700"/>
                      <wp:effectExtent b="0" l="0" r="0" t="0"/>
                      <wp:wrapNone/>
                      <wp:docPr id="1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5165100" y="3779640"/>
                                <a:ext cx="361800" cy="720"/>
                              </a:xfrm>
                              <a:custGeom>
                                <a:rect b="b" l="l" r="r" t="t"/>
                                <a:pathLst>
                                  <a:path extrusionOk="0" h="21600" w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-25399</wp:posOffset>
                      </wp:positionH>
                      <wp:positionV relativeFrom="paragraph">
                        <wp:posOffset>177800</wp:posOffset>
                      </wp:positionV>
                      <wp:extent cx="362585" cy="12700"/>
                      <wp:effectExtent b="0" l="0" r="0" t="0"/>
                      <wp:wrapNone/>
                      <wp:docPr id="1" name="image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7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62585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</w:tbl>
    <w:p w:rsidR="00000000" w:rsidDel="00000000" w:rsidP="00000000" w:rsidRDefault="00000000" w:rsidRPr="00000000" w14:paraId="00000013">
      <w:pPr>
        <w:widowControl w:val="0"/>
        <w:shd w:fill="ffffff" w:val="clear"/>
        <w:spacing w:line="300" w:lineRule="auto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hd w:fill="ffffff" w:val="clear"/>
        <w:spacing w:line="300" w:lineRule="auto"/>
        <w:rPr>
          <w:rFonts w:ascii="Times New Roman" w:cs="Times New Roman" w:eastAsia="Times New Roman" w:hAnsi="Times New Roman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Название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: 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u w:val="single"/>
          <w:rtl w:val="0"/>
        </w:rPr>
        <w:t xml:space="preserve">Функция eval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hd w:fill="ffffff" w:val="clear"/>
        <w:spacing w:line="360" w:lineRule="auto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ind w:left="142" w:firstLine="0"/>
        <w:rPr>
          <w:rFonts w:ascii="Times New Roman" w:cs="Times New Roman" w:eastAsia="Times New Roman" w:hAnsi="Times New Roman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Дисциплина: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u w:val="single"/>
          <w:rtl w:val="0"/>
        </w:rPr>
        <w:t xml:space="preserve">Функциональное и логическое программирование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hd w:fill="ffffff" w:val="clear"/>
        <w:tabs>
          <w:tab w:val="left" w:pos="5670"/>
        </w:tabs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hd w:fill="ffffff" w:val="clear"/>
        <w:tabs>
          <w:tab w:val="left" w:pos="5670"/>
        </w:tabs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hd w:fill="ffffff" w:val="clear"/>
        <w:tabs>
          <w:tab w:val="left" w:pos="5670"/>
        </w:tabs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hd w:fill="ffffff" w:val="clear"/>
        <w:tabs>
          <w:tab w:val="left" w:pos="5670"/>
        </w:tabs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33.0" w:type="dxa"/>
        <w:jc w:val="left"/>
        <w:tblInd w:w="0.9999999999999858" w:type="dxa"/>
        <w:tblLayout w:type="fixed"/>
        <w:tblLook w:val="0000"/>
      </w:tblPr>
      <w:tblGrid>
        <w:gridCol w:w="2010"/>
        <w:gridCol w:w="1834"/>
        <w:gridCol w:w="1824"/>
        <w:gridCol w:w="1740"/>
        <w:gridCol w:w="2625"/>
        <w:tblGridChange w:id="0">
          <w:tblGrid>
            <w:gridCol w:w="2010"/>
            <w:gridCol w:w="1834"/>
            <w:gridCol w:w="1824"/>
            <w:gridCol w:w="1740"/>
            <w:gridCol w:w="2625"/>
          </w:tblGrid>
        </w:tblGridChange>
      </w:tblGrid>
      <w:tr>
        <w:tc>
          <w:tcPr>
            <w:shd w:fill="auto" w:val="clear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Студент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C">
            <w:pPr>
              <w:widowControl w:val="0"/>
              <w:pBdr>
                <w:bottom w:color="000000" w:space="1" w:sz="6" w:val="single"/>
              </w:pBd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ИУ7-63Б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E">
            <w:pPr>
              <w:widowControl w:val="0"/>
              <w:pBdr>
                <w:bottom w:color="000000" w:space="1" w:sz="6" w:val="singl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F">
            <w:pPr>
              <w:widowControl w:val="0"/>
              <w:pBdr>
                <w:bottom w:color="000000" w:space="1" w:sz="6" w:val="singl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В.П. Федоров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(Группа)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(Подпись, дата)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(И.О. Фамилия)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highlight w:val="white"/>
                <w:rtl w:val="0"/>
              </w:rPr>
              <w:t xml:space="preserve">Преподаватель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D">
            <w:pPr>
              <w:widowControl w:val="0"/>
              <w:pBdr>
                <w:bottom w:color="000000" w:space="1" w:sz="6" w:val="singl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E">
            <w:pPr>
              <w:widowControl w:val="0"/>
              <w:pBdr>
                <w:bottom w:color="000000" w:space="1" w:sz="6" w:val="single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Н.Б. Толпинская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(Подпись, дата)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(И.О. Фамилия)</w:t>
            </w:r>
          </w:p>
        </w:tc>
      </w:tr>
    </w:tbl>
    <w:p w:rsidR="00000000" w:rsidDel="00000000" w:rsidP="00000000" w:rsidRDefault="00000000" w:rsidRPr="00000000" w14:paraId="0000003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ind w:left="2880" w:firstLine="72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Москва,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Цели работы: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изучить правила работы функции eval на структурированных списках-аргументах, построить диаграммы работы функции eval (выполнения функций);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проанализировать работу функции eval при обработке стандартных функций и функций, определенных пользователем.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Задача 1.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Диаграммы состояний.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43525" cy="581977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81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95900" cy="707707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707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72125" cy="757237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757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Задача 2.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Написать функцию, вычисляющую длину гипотенузы прямоугольного треугольника по двум его сторонам</w:t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1164.5039062499998" w:hRule="atLeast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Листинг 2.1: Функция, вычисляющая гипотенузу, на языке LISP</w:t>
            </w:r>
          </w:p>
          <w:tbl>
            <w:tblPr>
              <w:tblStyle w:val="Table5"/>
              <w:tblW w:w="8829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829"/>
              <w:tblGridChange w:id="0">
                <w:tblGrid>
                  <w:gridCol w:w="8829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2">
                  <w:pPr>
                    <w:widowControl w:val="0"/>
                    <w:rPr>
                      <w:rFonts w:ascii="Times New Roman" w:cs="Times New Roman" w:eastAsia="Times New Roman" w:hAnsi="Times New Roman"/>
                      <w:sz w:val="24"/>
                      <w:szCs w:val="24"/>
                      <w:highlight w:val="whit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highlight w:val="white"/>
                      <w:rtl w:val="0"/>
                    </w:rPr>
                    <w:t xml:space="preserve">(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highlight w:val="white"/>
                      <w:rtl w:val="0"/>
                    </w:rPr>
                    <w:t xml:space="preserve">defun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highlight w:val="white"/>
                      <w:rtl w:val="0"/>
                    </w:rPr>
                    <w:t xml:space="preserve"> hypotenuz(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highlight w:val="white"/>
                      <w:rtl w:val="0"/>
                    </w:rPr>
                    <w:t xml:space="preserve">x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highlight w:val="white"/>
                      <w:rtl w:val="0"/>
                    </w:rPr>
                    <w:t xml:space="preserve"> y)</w:t>
                    <w:br w:type="textWrapping"/>
                    <w:tab/>
                    <w:t xml:space="preserve">(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highlight w:val="white"/>
                      <w:rtl w:val="0"/>
                    </w:rPr>
                    <w:t xml:space="preserve">sqrt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highlight w:val="white"/>
                      <w:rtl w:val="0"/>
                    </w:rPr>
                    <w:t xml:space="preserve"> (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highlight w:val="white"/>
                      <w:rtl w:val="0"/>
                    </w:rPr>
                    <w:t xml:space="preserve">+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highlight w:val="white"/>
                      <w:rtl w:val="0"/>
                    </w:rPr>
                    <w:t xml:space="preserve"> (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highlight w:val="white"/>
                      <w:rtl w:val="0"/>
                    </w:rPr>
                    <w:t xml:space="preserve">*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highlight w:val="white"/>
                      <w:rtl w:val="0"/>
                    </w:rPr>
                    <w:t xml:space="preserve"> x x) (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highlight w:val="white"/>
                      <w:rtl w:val="0"/>
                    </w:rPr>
                    <w:t xml:space="preserve">*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highlight w:val="white"/>
                      <w:rtl w:val="0"/>
                    </w:rPr>
                    <w:t xml:space="preserve"> y y)))</w:t>
                    <w:br w:type="textWrapping"/>
                    <w:t xml:space="preserve">)</w:t>
                  </w:r>
                </w:p>
              </w:tc>
            </w:tr>
          </w:tbl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  <w:drawing>
                <wp:inline distB="114300" distT="114300" distL="114300" distR="114300">
                  <wp:extent cx="4924425" cy="7534275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7534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Задача 3. 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Написать функция, вычисляющую объем параллелепипеда по трем его сторонам 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8829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829"/>
              <w:tblGridChange w:id="0">
                <w:tblGrid>
                  <w:gridCol w:w="8829"/>
                </w:tblGrid>
              </w:tblGridChange>
            </w:tblGrid>
            <w:tr>
              <w:tc>
                <w:tcPr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E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sz w:val="24"/>
                      <w:szCs w:val="24"/>
                      <w:highlight w:val="whit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highlight w:val="white"/>
                      <w:rtl w:val="0"/>
                    </w:rPr>
                    <w:t xml:space="preserve">(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000000"/>
                      <w:sz w:val="24"/>
                      <w:szCs w:val="24"/>
                      <w:highlight w:val="white"/>
                      <w:rtl w:val="0"/>
                    </w:rPr>
                    <w:t xml:space="preserve">defun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highlight w:val="white"/>
                      <w:rtl w:val="0"/>
                    </w:rPr>
                    <w:t xml:space="preserve"> get_s(a b c)</w:t>
                    <w:br w:type="textWrapping"/>
                    <w:tab/>
                    <w:t xml:space="preserve">(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000000"/>
                      <w:sz w:val="24"/>
                      <w:szCs w:val="24"/>
                      <w:highlight w:val="white"/>
                      <w:rtl w:val="0"/>
                    </w:rPr>
                    <w:t xml:space="preserve">*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highlight w:val="white"/>
                      <w:rtl w:val="0"/>
                    </w:rPr>
                    <w:t xml:space="preserve"> a b c)</w:t>
                    <w:br w:type="textWrapping"/>
                    <w:t xml:space="preserve">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  <w:drawing>
                <wp:inline distB="114300" distT="114300" distL="114300" distR="114300">
                  <wp:extent cx="5581650" cy="6543675"/>
                  <wp:effectExtent b="0" l="0" r="0" t="0"/>
                  <wp:docPr id="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6543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Задача 4. 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8829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414.5"/>
              <w:gridCol w:w="4414.5"/>
              <w:tblGridChange w:id="0">
                <w:tblGrid>
                  <w:gridCol w:w="4414.5"/>
                  <w:gridCol w:w="4414.5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1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highlight w:val="whit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highlight w:val="white"/>
                      <w:rtl w:val="0"/>
                    </w:rPr>
                    <w:t xml:space="preserve">выражение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2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highlight w:val="whit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highlight w:val="white"/>
                      <w:rtl w:val="0"/>
                    </w:rPr>
                    <w:t xml:space="preserve">результат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3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sz w:val="24"/>
                      <w:szCs w:val="24"/>
                      <w:highlight w:val="whit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highlight w:val="white"/>
                      <w:rtl w:val="0"/>
                    </w:rPr>
                    <w:t xml:space="preserve">(list ‘a ‘b c)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4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sz w:val="24"/>
                      <w:szCs w:val="24"/>
                      <w:highlight w:val="whit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highlight w:val="white"/>
                      <w:rtl w:val="0"/>
                    </w:rPr>
                    <w:t xml:space="preserve">error: The variable c is unbound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5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sz w:val="24"/>
                      <w:szCs w:val="24"/>
                      <w:highlight w:val="whit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highlight w:val="white"/>
                      <w:rtl w:val="0"/>
                    </w:rPr>
                    <w:t xml:space="preserve">(cons ‘a (b c))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6">
                  <w:pPr>
                    <w:widowControl w:val="0"/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24"/>
                      <w:szCs w:val="24"/>
                      <w:highlight w:val="whit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highlight w:val="white"/>
                      <w:rtl w:val="0"/>
                    </w:rPr>
                    <w:t xml:space="preserve">error: The variable c is unbound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7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sz w:val="24"/>
                      <w:szCs w:val="24"/>
                      <w:highlight w:val="whit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highlight w:val="white"/>
                      <w:rtl w:val="0"/>
                    </w:rPr>
                    <w:t xml:space="preserve">(cons ‘a ‘(b c))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8">
                  <w:pPr>
                    <w:widowControl w:val="0"/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24"/>
                      <w:szCs w:val="24"/>
                      <w:highlight w:val="whit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highlight w:val="white"/>
                      <w:rtl w:val="0"/>
                    </w:rPr>
                    <w:t xml:space="preserve">(a b c)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9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sz w:val="24"/>
                      <w:szCs w:val="24"/>
                      <w:highlight w:val="whit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highlight w:val="white"/>
                      <w:rtl w:val="0"/>
                    </w:rPr>
                    <w:t xml:space="preserve">(caddr (1 2 3 4 5))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A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sz w:val="24"/>
                      <w:szCs w:val="24"/>
                      <w:highlight w:val="whit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highlight w:val="white"/>
                      <w:rtl w:val="0"/>
                    </w:rPr>
                    <w:t xml:space="preserve">error: illegal function call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B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sz w:val="24"/>
                      <w:szCs w:val="24"/>
                      <w:highlight w:val="whit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highlight w:val="white"/>
                      <w:rtl w:val="0"/>
                    </w:rPr>
                    <w:t xml:space="preserve">(cons ‘a ‘b ‘c)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C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sz w:val="24"/>
                      <w:szCs w:val="24"/>
                      <w:highlight w:val="whit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highlight w:val="white"/>
                      <w:rtl w:val="0"/>
                    </w:rPr>
                    <w:t xml:space="preserve">error: invalid number of arguments: 3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D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sz w:val="24"/>
                      <w:szCs w:val="24"/>
                      <w:highlight w:val="whit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highlight w:val="white"/>
                      <w:rtl w:val="0"/>
                    </w:rPr>
                    <w:t xml:space="preserve">(list ‘a (b c))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E">
                  <w:pPr>
                    <w:widowControl w:val="0"/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24"/>
                      <w:szCs w:val="24"/>
                      <w:highlight w:val="whit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highlight w:val="white"/>
                      <w:rtl w:val="0"/>
                    </w:rPr>
                    <w:t xml:space="preserve">error: The variable c is unbound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F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sz w:val="24"/>
                      <w:szCs w:val="24"/>
                      <w:highlight w:val="whit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highlight w:val="white"/>
                      <w:rtl w:val="0"/>
                    </w:rPr>
                    <w:t xml:space="preserve">(list a ‘(b c))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0">
                  <w:pPr>
                    <w:widowControl w:val="0"/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24"/>
                      <w:szCs w:val="24"/>
                      <w:highlight w:val="whit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highlight w:val="white"/>
                      <w:rtl w:val="0"/>
                    </w:rPr>
                    <w:t xml:space="preserve">error: The variable a is unbound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1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sz w:val="24"/>
                      <w:szCs w:val="24"/>
                      <w:highlight w:val="whit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highlight w:val="white"/>
                      <w:rtl w:val="0"/>
                    </w:rPr>
                    <w:t xml:space="preserve">(list (+ 1 ‘(length ‘(1 2 3))))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2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sz w:val="24"/>
                      <w:szCs w:val="24"/>
                      <w:highlight w:val="whit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highlight w:val="white"/>
                      <w:rtl w:val="0"/>
                    </w:rPr>
                    <w:t xml:space="preserve">error: The value (length ‘(1 2 3) is not of type NUMBER</w:t>
                  </w:r>
                </w:p>
              </w:tc>
            </w:tr>
          </w:tbl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Задача 5.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Написать функцию longer_then от двух списков аргументов, которая возвращает Т, если первый аргумент имеет большую длину.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defun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highlight w:val="white"/>
                <w:rtl w:val="0"/>
              </w:rPr>
              <w:t xml:space="preserve"> longer_then(listOne listTwo)</w:t>
              <w:br w:type="textWrapping"/>
              <w:tab/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highlight w:val="white"/>
                <w:rtl w:val="0"/>
              </w:rPr>
              <w:t xml:space="preserve">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length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highlight w:val="white"/>
                <w:rtl w:val="0"/>
              </w:rPr>
              <w:t xml:space="preserve"> listOne)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length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highlight w:val="white"/>
                <w:rtl w:val="0"/>
              </w:rPr>
              <w:t xml:space="preserve"> listTwo))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Задача 6.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220.0" w:type="dxa"/>
        <w:jc w:val="left"/>
        <w:tblInd w:w="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45"/>
        <w:gridCol w:w="3675"/>
        <w:tblGridChange w:id="0">
          <w:tblGrid>
            <w:gridCol w:w="4545"/>
            <w:gridCol w:w="36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выражение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результат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(cons 3 (list 5 6))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(3 5 6)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(cons 3 ‘(list 5 6))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(3 LIST 5 6)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(list 3 ‘from 9 ‘gives (- 9 3))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(3 from 9 gives 6)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(+ (length ‘(1 foo 2 too))(car ‘(21 22 23)))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(cdr ‘(cons is short for and))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(is short for and)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(car (list one two))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error: The variable one in unbound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(car (list ‘one ‘two))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one</w:t>
            </w:r>
          </w:p>
        </w:tc>
      </w:tr>
    </w:tbl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Задача 6 (часть 2).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Дана функция: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(defun mystery (x) (list (second x) (first x)))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7935.0" w:type="dxa"/>
        <w:jc w:val="left"/>
        <w:tblInd w:w="11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35"/>
        <w:gridCol w:w="4500"/>
        <w:tblGridChange w:id="0">
          <w:tblGrid>
            <w:gridCol w:w="3435"/>
            <w:gridCol w:w="450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выражение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результат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(mystery ‘(one two))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(two one)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(mystery ‘free)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error: the value free is not of type LIST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(mystery (last ‘one ‘two))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error: the variable one is unbound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(mystery ‘one ‘two)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error: invalid number of arguments: 2</w:t>
            </w:r>
          </w:p>
        </w:tc>
      </w:tr>
    </w:tbl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amut5ovnk1f2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Контрольные вопросы.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Классификация функций в LISP</w:t>
      </w:r>
    </w:p>
    <w:p w:rsidR="00000000" w:rsidDel="00000000" w:rsidP="00000000" w:rsidRDefault="00000000" w:rsidRPr="00000000" w14:paraId="000000C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аргументам и поведения </w:t>
      </w:r>
    </w:p>
    <w:p w:rsidR="00000000" w:rsidDel="00000000" w:rsidP="00000000" w:rsidRDefault="00000000" w:rsidRPr="00000000" w14:paraId="000000CB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Чистые функции - фиксированное количество аргументов, для определенного набора аргументов есть фиксированный результат;</w:t>
      </w:r>
    </w:p>
    <w:p w:rsidR="00000000" w:rsidDel="00000000" w:rsidP="00000000" w:rsidRDefault="00000000" w:rsidRPr="00000000" w14:paraId="000000CC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Функции формы (специальные функции) - функции, которые принимают произвольное количество аргументов или по разному обрабатывают результат ;</w:t>
      </w:r>
    </w:p>
    <w:p w:rsidR="00000000" w:rsidDel="00000000" w:rsidP="00000000" w:rsidRDefault="00000000" w:rsidRPr="00000000" w14:paraId="000000CD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Функции высшего порядка (Функционалы) - принимают или возвращают в качестве результата функцию.</w:t>
      </w:r>
    </w:p>
    <w:p w:rsidR="00000000" w:rsidDel="00000000" w:rsidP="00000000" w:rsidRDefault="00000000" w:rsidRPr="00000000" w14:paraId="000000CE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псевдофункции - создают эффект на экране;</w:t>
      </w:r>
    </w:p>
    <w:p w:rsidR="00000000" w:rsidDel="00000000" w:rsidP="00000000" w:rsidRDefault="00000000" w:rsidRPr="00000000" w14:paraId="000000CF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именованию:</w:t>
      </w:r>
    </w:p>
    <w:p w:rsidR="00000000" w:rsidDel="00000000" w:rsidP="00000000" w:rsidRDefault="00000000" w:rsidRPr="00000000" w14:paraId="000000D2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именованные - можно определить через defun;</w:t>
      </w:r>
    </w:p>
    <w:p w:rsidR="00000000" w:rsidDel="00000000" w:rsidP="00000000" w:rsidRDefault="00000000" w:rsidRPr="00000000" w14:paraId="000000D3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неименованные - определяются через lambda.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Базис языка LISP</w:t>
      </w:r>
    </w:p>
    <w:p w:rsidR="00000000" w:rsidDel="00000000" w:rsidP="00000000" w:rsidRDefault="00000000" w:rsidRPr="00000000" w14:paraId="000000D6">
      <w:pPr>
        <w:ind w:left="72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Базис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минимальный набор возможностей, (средств) с помощью которых можно решить какую-то задачу.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Базис Lisp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образуют атомы, структуры, базовые функции и функционалы.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Список: представление и интерпретация</w:t>
      </w:r>
    </w:p>
    <w:p w:rsidR="00000000" w:rsidDel="00000000" w:rsidP="00000000" w:rsidRDefault="00000000" w:rsidRPr="00000000" w14:paraId="000000DB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Список - структура данных, состоящая из элементов, которыми могут быть атомы или другие списки. Список также может не содержать элементов вовсе, такой список называется пустым и обозначается как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Nil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или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DC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Список является фундаментом языка LISP и может представлять как данные, так и код.</w:t>
      </w:r>
    </w:p>
    <w:p w:rsidR="00000000" w:rsidDel="00000000" w:rsidP="00000000" w:rsidRDefault="00000000" w:rsidRPr="00000000" w14:paraId="000000DD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Как выполняются car и cdr? Какие результаты? Примеры.</w:t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Функции car и cdr служат для выделения головы и хвоста списка соответственно. Функции car и cdr можно применять только к списку и точечной паре. Попытка применить car и cdr к атому приведет к ошибке ERRSTATE.</w:t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Примеры: 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4875.0" w:type="dxa"/>
        <w:jc w:val="left"/>
        <w:tblInd w:w="19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70"/>
        <w:gridCol w:w="1905"/>
        <w:tblGridChange w:id="0">
          <w:tblGrid>
            <w:gridCol w:w="2970"/>
            <w:gridCol w:w="190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(car ‘(1 2 3))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(cdr ‘(1 2 3))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2 3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(cdr (cdr ‘(1 2 3)))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(cdr (cdr (cdr ‘(1 2 3))))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(car ‘(a . b))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(cdr ‘(a . b))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(car 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ERRSTATE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(cdr 3)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ERRSTATE</w:t>
            </w:r>
          </w:p>
        </w:tc>
      </w:tr>
    </w:tbl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Отличия в выполнении list и cons.</w:t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 можно применить для произвольного количества аргументов, cons работает только для двух. cons объединяет значение двух своих аргументов в точечную пару, lisp формирует список. </w:t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2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