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453359">
      <w:pPr>
        <w:jc w:val="center"/>
        <w:rPr>
          <w:rFonts w:ascii="Times New Roman" w:eastAsia="华文行楷" w:hAnsi="Times New Roman" w:cs="Times New Roman"/>
          <w:b/>
          <w:bCs/>
          <w:sz w:val="48"/>
          <w:szCs w:val="48"/>
        </w:rPr>
      </w:pPr>
      <w:bookmarkStart w:id="0" w:name="_GoBack"/>
      <w:bookmarkEnd w:id="0"/>
      <w:r>
        <w:rPr>
          <w:rFonts w:ascii="Times New Roman" w:eastAsia="华文行楷" w:hAnsi="Times New Roman" w:cs="Times New Roman"/>
          <w:b/>
          <w:bCs/>
          <w:sz w:val="48"/>
          <w:szCs w:val="48"/>
        </w:rPr>
        <w:t>电</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子</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科</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技</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大</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学</w:t>
      </w:r>
    </w:p>
    <w:p w:rsidR="00453359">
      <w:pPr>
        <w:jc w:val="center"/>
        <w:rPr>
          <w:rFonts w:ascii="Times New Roman" w:hAnsi="Times New Roman" w:cs="Times New Roman"/>
          <w:b/>
          <w:bCs/>
          <w:sz w:val="36"/>
          <w:szCs w:val="36"/>
        </w:rPr>
      </w:pPr>
      <w:r>
        <w:rPr>
          <w:rFonts w:ascii="Times New Roman" w:hAnsi="Times New Roman"/>
          <w:b/>
          <w:bCs/>
          <w:sz w:val="36"/>
          <w:szCs w:val="36"/>
          <w:u w:val="single"/>
        </w:rPr>
        <w:t>20</w:t>
      </w:r>
      <w:r w:rsidR="008E576E">
        <w:rPr>
          <w:rFonts w:ascii="Times New Roman" w:hAnsi="Times New Roman" w:hint="eastAsia"/>
          <w:b/>
          <w:bCs/>
          <w:sz w:val="36"/>
          <w:szCs w:val="36"/>
          <w:u w:val="single"/>
        </w:rPr>
        <w:t>2</w:t>
      </w:r>
      <w:r w:rsidR="00084EFF">
        <w:rPr>
          <w:rFonts w:ascii="Times New Roman" w:hAnsi="Times New Roman" w:hint="eastAsia"/>
          <w:b/>
          <w:bCs/>
          <w:sz w:val="36"/>
          <w:szCs w:val="36"/>
          <w:u w:val="single"/>
        </w:rPr>
        <w:t>2</w:t>
      </w:r>
      <w:r>
        <w:rPr>
          <w:rFonts w:ascii="Times New Roman" w:hAnsi="Times New Roman" w:cs="Times New Roman"/>
          <w:b/>
          <w:bCs/>
          <w:sz w:val="36"/>
          <w:szCs w:val="36"/>
        </w:rPr>
        <w:t>级本科毕业设计（论文）开题报告表</w:t>
      </w:r>
    </w:p>
    <w:tbl>
      <w:tblPr>
        <w:tblW w:w="9766" w:type="dxa"/>
        <w:jc w:val="center"/>
        <w:tblBorders>
          <w:top w:val="single" w:sz="12" w:space="0" w:color="auto"/>
          <w:left w:val="single" w:sz="12" w:space="0" w:color="auto"/>
          <w:bottom w:val="single" w:sz="12" w:space="0" w:color="auto"/>
          <w:right w:val="single" w:sz="12" w:space="0" w:color="auto"/>
        </w:tblBorders>
        <w:tblLayout w:type="fixed"/>
        <w:tblLook w:val="04A0"/>
      </w:tblPr>
      <w:tblGrid>
        <w:gridCol w:w="978"/>
        <w:gridCol w:w="282"/>
        <w:gridCol w:w="2411"/>
        <w:gridCol w:w="2630"/>
        <w:gridCol w:w="3465"/>
      </w:tblGrid>
      <w:tr w:rsidTr="00C849CB">
        <w:tblPrEx>
          <w:tblW w:w="9766" w:type="dxa"/>
          <w:jc w:val="center"/>
          <w:tblBorders>
            <w:top w:val="single" w:sz="12" w:space="0" w:color="auto"/>
            <w:left w:val="single" w:sz="12" w:space="0" w:color="auto"/>
            <w:bottom w:val="single" w:sz="12" w:space="0" w:color="auto"/>
            <w:right w:val="single" w:sz="12" w:space="0" w:color="auto"/>
          </w:tblBorders>
          <w:tblLayout w:type="fixed"/>
          <w:tblLook w:val="04A0"/>
        </w:tblPrEx>
        <w:trPr>
          <w:jc w:val="center"/>
        </w:trPr>
        <w:tc>
          <w:tcPr>
            <w:tcW w:w="3671" w:type="dxa"/>
            <w:gridSpan w:val="3"/>
            <w:tcBorders>
              <w:top w:val="single" w:sz="12"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学号：</w:t>
            </w:r>
            <w:r w:rsidRPr="008A7A65">
              <w:rPr>
                <w:rFonts w:ascii="Times New Roman" w:eastAsia="楷体" w:hAnsi="Times New Roman" w:cs="Times New Roman"/>
                <w:b/>
                <w:sz w:val="24"/>
              </w:rPr>
              <w:t>2022050906002</w:t>
            </w:r>
          </w:p>
        </w:tc>
        <w:tc>
          <w:tcPr>
            <w:tcW w:w="2630" w:type="dxa"/>
            <w:tcBorders>
              <w:top w:val="single" w:sz="12" w:space="0" w:color="auto"/>
              <w:left w:val="single" w:sz="4"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姓名：</w:t>
            </w:r>
            <w:r w:rsidRPr="008A7A65">
              <w:rPr>
                <w:rFonts w:ascii="Times New Roman" w:eastAsia="楷体" w:hAnsi="Times New Roman" w:cs="Times New Roman"/>
                <w:b/>
                <w:sz w:val="24"/>
              </w:rPr>
              <w:t>王坚泽</w:t>
            </w:r>
          </w:p>
        </w:tc>
        <w:tc>
          <w:tcPr>
            <w:tcW w:w="3465" w:type="dxa"/>
            <w:tcBorders>
              <w:top w:val="single" w:sz="12" w:space="0" w:color="auto"/>
              <w:left w:val="single" w:sz="4" w:space="0" w:color="auto"/>
              <w:bottom w:val="single" w:sz="4" w:space="0" w:color="auto"/>
              <w:right w:val="single" w:sz="12"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学院：</w:t>
            </w:r>
            <w:r w:rsidRPr="008A7A65">
              <w:rPr>
                <w:rFonts w:ascii="Times New Roman" w:eastAsia="楷体" w:hAnsi="Times New Roman" w:cs="Times New Roman"/>
                <w:b/>
                <w:sz w:val="24"/>
              </w:rPr>
              <w:t>光电科学与工程学院</w:t>
            </w:r>
          </w:p>
        </w:tc>
      </w:tr>
      <w:tr w:rsidTr="00C849CB">
        <w:tblPrEx>
          <w:tblW w:w="9766" w:type="dxa"/>
          <w:jc w:val="center"/>
          <w:tblLayout w:type="fixed"/>
          <w:tblLook w:val="04A0"/>
        </w:tblPrEx>
        <w:trPr>
          <w:jc w:val="center"/>
        </w:trPr>
        <w:tc>
          <w:tcPr>
            <w:tcW w:w="3671" w:type="dxa"/>
            <w:gridSpan w:val="3"/>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专业：</w:t>
            </w:r>
            <w:r w:rsidRPr="008A7A65">
              <w:rPr>
                <w:rFonts w:ascii="Times New Roman" w:eastAsia="楷体" w:hAnsi="Times New Roman" w:cs="Times New Roman"/>
                <w:b/>
                <w:sz w:val="24"/>
              </w:rPr>
              <w:t>信息工程</w:t>
            </w:r>
          </w:p>
        </w:tc>
        <w:tc>
          <w:tcPr>
            <w:tcW w:w="6095" w:type="dxa"/>
            <w:gridSpan w:val="2"/>
            <w:tcBorders>
              <w:top w:val="single" w:sz="4" w:space="0" w:color="auto"/>
              <w:left w:val="single" w:sz="4" w:space="0" w:color="auto"/>
              <w:bottom w:val="single" w:sz="4" w:space="0" w:color="auto"/>
              <w:right w:val="single" w:sz="12"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导师姓名</w:t>
            </w:r>
            <w:r>
              <w:rPr>
                <w:rFonts w:ascii="Times New Roman" w:eastAsia="楷体" w:hAnsi="Times New Roman" w:cs="Times New Roman" w:hint="eastAsia"/>
                <w:b/>
                <w:sz w:val="24"/>
              </w:rPr>
              <w:t>、职称</w:t>
            </w:r>
            <w:r>
              <w:rPr>
                <w:rFonts w:ascii="Times New Roman" w:eastAsia="楷体" w:hAnsi="Times New Roman" w:cs="Times New Roman"/>
                <w:b/>
                <w:sz w:val="24"/>
              </w:rPr>
              <w:t>：</w:t>
            </w:r>
            <w:r w:rsidRPr="008A7A65">
              <w:rPr>
                <w:rFonts w:ascii="Times New Roman" w:eastAsia="楷体" w:hAnsi="Times New Roman" w:cs="Times New Roman"/>
                <w:b/>
                <w:sz w:val="24"/>
              </w:rPr>
              <w:t>罗消</w:t>
            </w:r>
            <w:r w:rsidRPr="008A7A65">
              <w:rPr>
                <w:rFonts w:ascii="Times New Roman" w:eastAsia="楷体" w:hAnsi="Times New Roman" w:cs="Times New Roman" w:hint="eastAsia"/>
                <w:b/>
                <w:sz w:val="24"/>
              </w:rPr>
              <w:t xml:space="preserve">  </w:t>
            </w:r>
            <w:r>
              <w:rPr>
                <w:rFonts w:ascii="Times New Roman" w:eastAsia="楷体" w:hAnsi="Times New Roman" w:cs="Times New Roman" w:hint="eastAsia"/>
                <w:b/>
                <w:sz w:val="24"/>
              </w:rPr>
              <w:t xml:space="preserve">  </w:t>
            </w:r>
            <w:r w:rsidRPr="008A7A65">
              <w:rPr>
                <w:rFonts w:ascii="Times New Roman" w:eastAsia="楷体" w:hAnsi="Times New Roman" w:cs="Times New Roman"/>
                <w:b/>
                <w:sz w:val="24"/>
              </w:rPr>
              <w:t>特聘研究员（博导）</w:t>
            </w:r>
          </w:p>
        </w:tc>
      </w:tr>
      <w:tr w:rsidTr="00C849CB">
        <w:tblPrEx>
          <w:tblW w:w="9766" w:type="dxa"/>
          <w:jc w:val="center"/>
          <w:tblLayout w:type="fixed"/>
          <w:tblLook w:val="04A0"/>
        </w:tblPrEx>
        <w:trPr>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论文题目</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C849CB">
            <w:pPr>
              <w:spacing w:after="0" w:line="480" w:lineRule="auto"/>
              <w:jc w:val="center"/>
              <w:rPr>
                <w:rFonts w:asciiTheme="minorEastAsia" w:hAnsiTheme="minorEastAsia" w:cs="Times New Roman"/>
                <w:sz w:val="24"/>
              </w:rPr>
            </w:pPr>
            <w:r w:rsidRPr="008A7A65">
              <w:rPr>
                <w:rFonts w:ascii="Times New Roman" w:eastAsia="楷体" w:hAnsi="Times New Roman" w:cs="Times New Roman"/>
                <w:b/>
                <w:sz w:val="24"/>
              </w:rPr>
              <w:t>人工智能算法预测荧光太阳能聚光器光学效率研究</w:t>
            </w:r>
          </w:p>
        </w:tc>
      </w:tr>
      <w:tr w:rsidTr="00C849CB">
        <w:tblPrEx>
          <w:tblW w:w="9766" w:type="dxa"/>
          <w:jc w:val="center"/>
          <w:tblLayout w:type="fixed"/>
          <w:tblLook w:val="04A0"/>
        </w:tblPrEx>
        <w:trPr>
          <w:cantSplit/>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题目来源</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C849CB">
            <w:pPr>
              <w:spacing w:after="0" w:line="480" w:lineRule="auto"/>
              <w:jc w:val="center"/>
              <w:rPr>
                <w:rFonts w:asciiTheme="minorEastAsia" w:hAnsiTheme="minorEastAsia" w:cs="Times New Roman"/>
                <w:sz w:val="24"/>
              </w:rPr>
            </w:pP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交流学生学分认定 </w:t>
            </w:r>
            <w:r w:rsidRPr="003902A5">
              <w:rPr>
                <w:rFonts w:ascii="Wingdings 2" w:eastAsia="楷体" w:hAnsi="Wingdings 2" w:cs="Times New Roman"/>
                <w:b/>
                <w:sz w:val="24"/>
              </w:rPr>
              <w:sym w:font="Wingdings 2" w:char="F052"/>
            </w:r>
            <w:r w:rsidRPr="003902A5">
              <w:rPr>
                <w:rFonts w:ascii="Times New Roman" w:eastAsia="楷体" w:hAnsi="Times New Roman" w:cs="Times New Roman" w:hint="eastAsia"/>
                <w:b/>
                <w:sz w:val="24"/>
              </w:rPr>
              <w:t xml:space="preserve">科研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生产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教学（含实验）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创新创业 </w:t>
            </w:r>
          </w:p>
        </w:tc>
      </w:tr>
      <w:tr w:rsidTr="00C849CB">
        <w:tblPrEx>
          <w:tblW w:w="9766" w:type="dxa"/>
          <w:jc w:val="center"/>
          <w:tblLayout w:type="fixed"/>
          <w:tblLook w:val="04A0"/>
        </w:tblPrEx>
        <w:trPr>
          <w:cantSplit/>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成果形式</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8A7A65">
            <w:pPr>
              <w:spacing w:after="0" w:line="480" w:lineRule="auto"/>
              <w:jc w:val="center"/>
              <w:rPr>
                <w:rFonts w:asciiTheme="minorEastAsia" w:hAnsiTheme="minorEastAsia" w:cs="Times New Roman"/>
                <w:sz w:val="24"/>
              </w:rPr>
            </w:pP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硬件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硬件+软件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软件 </w:t>
            </w:r>
            <w:r w:rsidRPr="003902A5">
              <w:rPr>
                <w:rFonts w:ascii="Wingdings 2" w:eastAsia="楷体" w:hAnsi="Wingdings 2" w:cs="Times New Roman"/>
                <w:b/>
                <w:sz w:val="24"/>
              </w:rPr>
              <w:sym w:font="Wingdings 2" w:char="F052"/>
            </w:r>
            <w:r w:rsidRPr="003902A5">
              <w:rPr>
                <w:rFonts w:ascii="Times New Roman" w:eastAsia="楷体" w:hAnsi="Times New Roman" w:cs="Times New Roman" w:hint="eastAsia"/>
                <w:b/>
                <w:sz w:val="24"/>
              </w:rPr>
              <w:t xml:space="preserve">理论研究/纯论文 </w:t>
            </w:r>
          </w:p>
        </w:tc>
      </w:tr>
      <w:tr w:rsidTr="00B9367A">
        <w:tblPrEx>
          <w:tblW w:w="9766" w:type="dxa"/>
          <w:jc w:val="center"/>
          <w:tblLayout w:type="fixed"/>
          <w:tblLook w:val="04A0"/>
        </w:tblPrEx>
        <w:trPr>
          <w:trHeight w:val="1346"/>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hint="eastAsia"/>
                <w:b/>
                <w:sz w:val="24"/>
              </w:rPr>
              <w:t>学位论文研究内容</w:t>
            </w:r>
          </w:p>
          <w:p w:rsidR="00453359" w:rsidRPr="004E1064" w:rsidP="004E1064">
            <w:pPr>
              <w:spacing w:after="0" w:line="360" w:lineRule="atLeast"/>
              <w:jc w:val="left"/>
              <w:rPr>
                <w:rFonts w:eastAsia="楷体"/>
                <w:b/>
                <w:sz w:val="24"/>
              </w:rPr>
            </w:pPr>
            <w:r>
              <w:rPr>
                <w:rFonts w:eastAsia="楷体" w:hint="eastAsia"/>
                <w:b/>
                <w:sz w:val="24"/>
              </w:rPr>
              <w:t>1</w:t>
            </w:r>
            <w:r w:rsidR="005824EA">
              <w:rPr>
                <w:rFonts w:ascii="Times New Roman" w:eastAsia="楷体" w:hAnsi="Times New Roman" w:hint="eastAsia"/>
                <w:b/>
                <w:bCs/>
                <w:sz w:val="24"/>
                <w:szCs w:val="24"/>
              </w:rPr>
              <w:t>．</w:t>
            </w:r>
            <w:r w:rsidRPr="004E1064" w:rsidR="00021171">
              <w:rPr>
                <w:rFonts w:eastAsia="楷体" w:hint="eastAsia"/>
                <w:b/>
                <w:sz w:val="24"/>
              </w:rPr>
              <w:t>研究现状及发展态势：</w:t>
            </w:r>
          </w:p>
          <w:p>
            <w:pPr>
              <w:widowControl/>
              <w:spacing w:after="240" w:line="405" w:lineRule="atLeast"/>
              <w:jc w:val="left"/>
              <w:rPr>
                <w:rFonts w:ascii="宋体" w:eastAsia="宋体" w:hAnsi="宋体" w:cs="宋体"/>
                <w:kern w:val="0"/>
                <w:sz w:val="24"/>
                <w:szCs w:val="24"/>
              </w:rPr>
            </w:pPr>
            <w:r>
              <w:rPr>
                <w:rFonts w:ascii="宋体" w:eastAsia="宋体" w:hAnsi="宋体" w:cs="宋体"/>
                <w:kern w:val="0"/>
                <w:sz w:val="24"/>
                <w:szCs w:val="24"/>
              </w:rPr>
              <w:t>目前人工智能算法在荧光太阳能聚光器光学效率预测领域正处于快速发展阶段，呈现出从传统建模向智能化、数据驱动范式转变的明显趋势。人工智能算法已深度渗透到荧光太阳能聚光器光学效率研究预测的各个环节。深度学习算法通关建立光学参数与物理相应之间的非线性映射关系，显著提升了预测精度和计算效率。贝叶斯优化算法通过建立发光效率、热稳定性与元素配比的非线性映射模型，已实现稀土掺杂荧光粉的组分自动优化。集成学习方法如XGBoost、LightGBM等通过组合多个弱学习器，在预测精度和泛化能力方面表现优异，这些算法能够有效处理高维特征和噪声数据，在荧光材料光学特性预测中展现出独特优势。</w:t>
            </w:r>
          </w:p>
          <w:p>
            <w:pPr>
              <w:widowControl/>
              <w:spacing w:before="240" w:after="240" w:line="405" w:lineRule="atLeast"/>
              <w:jc w:val="left"/>
              <w:rPr>
                <w:rFonts w:ascii="宋体" w:eastAsia="宋体" w:hAnsi="宋体" w:cs="宋体"/>
                <w:kern w:val="0"/>
                <w:sz w:val="24"/>
                <w:szCs w:val="24"/>
              </w:rPr>
            </w:pPr>
            <w:r>
              <w:rPr>
                <w:rFonts w:ascii="宋体" w:eastAsia="宋体" w:hAnsi="宋体" w:cs="宋体"/>
                <w:kern w:val="0"/>
                <w:sz w:val="24"/>
                <w:szCs w:val="24"/>
              </w:rPr>
              <w:t>基于</w:t>
            </w:r>
            <w:r>
              <w:rPr>
                <w:rFonts w:ascii="宋体" w:eastAsia="宋体" w:hAnsi="宋体" w:cs="宋体"/>
                <w:kern w:val="0"/>
                <w:sz w:val="24"/>
                <w:szCs w:val="24"/>
              </w:rPr>
              <w:t>Transformer</w:t>
            </w:r>
            <w:r>
              <w:rPr>
                <w:rFonts w:ascii="宋体" w:eastAsia="宋体" w:hAnsi="宋体" w:cs="宋体"/>
                <w:kern w:val="0"/>
                <w:sz w:val="24"/>
                <w:szCs w:val="24"/>
              </w:rPr>
              <w:t>架构的材料大模型正成为下一阶段研究热点，数字孪生技术在荧光材料生产线上实现规模化应用，物理信息神经网络（</w:t>
            </w:r>
            <w:r>
              <w:rPr>
                <w:rFonts w:ascii="宋体" w:eastAsia="宋体" w:hAnsi="宋体" w:cs="宋体"/>
                <w:kern w:val="0"/>
                <w:sz w:val="24"/>
                <w:szCs w:val="24"/>
              </w:rPr>
              <w:t>PINN</w:t>
            </w:r>
            <w:r>
              <w:rPr>
                <w:rFonts w:ascii="宋体" w:eastAsia="宋体" w:hAnsi="宋体" w:cs="宋体"/>
                <w:kern w:val="0"/>
                <w:sz w:val="24"/>
                <w:szCs w:val="24"/>
              </w:rPr>
              <w:t>）将物理守恒方程作为约束条件嵌入神经网络训练过程，实现数据驱动与物理规律相结合，显著提高了模型的可解释性和外推能力。这些技术的发展与推进为未来荧光太阳能聚光器光学效率预测提供了强大助力。</w:t>
            </w:r>
          </w:p>
          <w:p>
            <w:pPr>
              <w:widowControl/>
              <w:spacing w:before="240" w:after="240"/>
              <w:jc w:val="left"/>
              <w:rPr>
                <w:rFonts w:ascii="宋体" w:eastAsia="宋体" w:hAnsi="宋体" w:cs="宋体"/>
                <w:kern w:val="0"/>
                <w:sz w:val="24"/>
                <w:szCs w:val="24"/>
              </w:rPr>
            </w:pPr>
          </w:p>
          <w:p w:rsidR="00453359" w:rsidRPr="009F5145"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1082"/>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rsidRPr="004E1064" w:rsidP="004E1064">
            <w:pPr>
              <w:spacing w:after="0" w:line="400" w:lineRule="exact"/>
              <w:jc w:val="left"/>
              <w:rPr>
                <w:rFonts w:eastAsia="楷体"/>
                <w:b/>
                <w:sz w:val="24"/>
              </w:rPr>
            </w:pPr>
            <w:r>
              <w:rPr>
                <w:rFonts w:eastAsia="楷体" w:hint="eastAsia"/>
                <w:b/>
                <w:sz w:val="24"/>
              </w:rPr>
              <w:t>2</w:t>
            </w:r>
            <w:r w:rsidR="005824EA">
              <w:rPr>
                <w:rFonts w:ascii="Times New Roman" w:eastAsia="楷体" w:hAnsi="Times New Roman" w:hint="eastAsia"/>
                <w:b/>
                <w:bCs/>
                <w:sz w:val="24"/>
                <w:szCs w:val="24"/>
              </w:rPr>
              <w:t>．</w:t>
            </w:r>
            <w:r w:rsidRPr="004E1064" w:rsidR="00021171">
              <w:rPr>
                <w:rFonts w:eastAsia="楷体" w:hint="eastAsia"/>
                <w:b/>
                <w:sz w:val="24"/>
              </w:rPr>
              <w:t>选题依据及意义：</w:t>
            </w:r>
          </w:p>
          <w:p>
            <w:pPr>
              <w:widowControl/>
              <w:spacing w:after="240" w:line="405" w:lineRule="atLeast"/>
              <w:jc w:val="left"/>
              <w:rPr>
                <w:rFonts w:ascii="宋体" w:eastAsia="宋体" w:hAnsi="宋体" w:cs="宋体"/>
                <w:kern w:val="0"/>
                <w:sz w:val="24"/>
                <w:szCs w:val="24"/>
              </w:rPr>
            </w:pPr>
            <w:r>
              <w:rPr>
                <w:rFonts w:ascii="宋体" w:eastAsia="宋体" w:hAnsi="宋体" w:cs="宋体"/>
                <w:kern w:val="0"/>
                <w:sz w:val="24"/>
                <w:szCs w:val="24"/>
              </w:rPr>
              <w:t>荧光太阳能聚光器（</w:t>
            </w:r>
            <w:r>
              <w:rPr>
                <w:rFonts w:ascii="宋体" w:eastAsia="宋体" w:hAnsi="宋体" w:cs="宋体"/>
                <w:kern w:val="0"/>
                <w:sz w:val="24"/>
                <w:szCs w:val="24"/>
              </w:rPr>
              <w:t>LSC</w:t>
            </w:r>
            <w:r>
              <w:rPr>
                <w:rFonts w:ascii="宋体" w:eastAsia="宋体" w:hAnsi="宋体" w:cs="宋体"/>
                <w:kern w:val="0"/>
                <w:sz w:val="24"/>
                <w:szCs w:val="24"/>
              </w:rPr>
              <w:t>）作为第三代光伏技术，符合我国</w:t>
            </w:r>
            <w:r>
              <w:rPr>
                <w:rFonts w:ascii="宋体" w:eastAsia="宋体" w:hAnsi="宋体" w:cs="宋体"/>
                <w:kern w:val="0"/>
                <w:sz w:val="24"/>
                <w:szCs w:val="24"/>
              </w:rPr>
              <w:t>"</w:t>
            </w:r>
            <w:r>
              <w:rPr>
                <w:rFonts w:ascii="宋体" w:eastAsia="宋体" w:hAnsi="宋体" w:cs="宋体"/>
                <w:kern w:val="0"/>
                <w:sz w:val="24"/>
                <w:szCs w:val="24"/>
              </w:rPr>
              <w:t>双碳</w:t>
            </w:r>
            <w:r>
              <w:rPr>
                <w:rFonts w:ascii="宋体" w:eastAsia="宋体" w:hAnsi="宋体" w:cs="宋体"/>
                <w:kern w:val="0"/>
                <w:sz w:val="24"/>
                <w:szCs w:val="24"/>
              </w:rPr>
              <w:t>"</w:t>
            </w:r>
            <w:r>
              <w:rPr>
                <w:rFonts w:ascii="宋体" w:eastAsia="宋体" w:hAnsi="宋体" w:cs="宋体"/>
                <w:kern w:val="0"/>
                <w:sz w:val="24"/>
                <w:szCs w:val="24"/>
              </w:rPr>
              <w:t>战略目标。</w:t>
            </w:r>
            <w:r>
              <w:rPr>
                <w:rFonts w:ascii="宋体" w:eastAsia="宋体" w:hAnsi="宋体" w:cs="宋体"/>
                <w:kern w:val="0"/>
                <w:sz w:val="24"/>
                <w:szCs w:val="24"/>
              </w:rPr>
              <w:t>2021</w:t>
            </w:r>
            <w:r>
              <w:rPr>
                <w:rFonts w:ascii="宋体" w:eastAsia="宋体" w:hAnsi="宋体" w:cs="宋体"/>
                <w:kern w:val="0"/>
                <w:sz w:val="24"/>
                <w:szCs w:val="24"/>
              </w:rPr>
              <w:t>年国务院印发的《</w:t>
            </w:r>
            <w:r>
              <w:rPr>
                <w:rFonts w:ascii="宋体" w:eastAsia="宋体" w:hAnsi="宋体" w:cs="宋体"/>
                <w:kern w:val="0"/>
                <w:sz w:val="24"/>
                <w:szCs w:val="24"/>
              </w:rPr>
              <w:t>2030</w:t>
            </w:r>
            <w:r>
              <w:rPr>
                <w:rFonts w:ascii="宋体" w:eastAsia="宋体" w:hAnsi="宋体" w:cs="宋体"/>
                <w:kern w:val="0"/>
                <w:sz w:val="24"/>
                <w:szCs w:val="24"/>
              </w:rPr>
              <w:t>年前碳达峰行动方案》明确提出</w:t>
            </w:r>
            <w:r>
              <w:rPr>
                <w:rFonts w:ascii="宋体" w:eastAsia="宋体" w:hAnsi="宋体" w:cs="宋体"/>
                <w:kern w:val="0"/>
                <w:sz w:val="24"/>
                <w:szCs w:val="24"/>
              </w:rPr>
              <w:t>"</w:t>
            </w:r>
            <w:r>
              <w:rPr>
                <w:rFonts w:ascii="宋体" w:eastAsia="宋体" w:hAnsi="宋体" w:cs="宋体"/>
                <w:kern w:val="0"/>
                <w:sz w:val="24"/>
                <w:szCs w:val="24"/>
              </w:rPr>
              <w:t>大力发展新能源</w:t>
            </w:r>
            <w:r>
              <w:rPr>
                <w:rFonts w:ascii="宋体" w:eastAsia="宋体" w:hAnsi="宋体" w:cs="宋体"/>
                <w:kern w:val="0"/>
                <w:sz w:val="24"/>
                <w:szCs w:val="24"/>
              </w:rPr>
              <w:t>"</w:t>
            </w:r>
            <w:r>
              <w:rPr>
                <w:rFonts w:ascii="宋体" w:eastAsia="宋体" w:hAnsi="宋体" w:cs="宋体"/>
                <w:kern w:val="0"/>
                <w:sz w:val="24"/>
                <w:szCs w:val="24"/>
              </w:rPr>
              <w:t>，要求到</w:t>
            </w:r>
            <w:r>
              <w:rPr>
                <w:rFonts w:ascii="宋体" w:eastAsia="宋体" w:hAnsi="宋体" w:cs="宋体"/>
                <w:kern w:val="0"/>
                <w:sz w:val="24"/>
                <w:szCs w:val="24"/>
              </w:rPr>
              <w:t>2030</w:t>
            </w:r>
            <w:r>
              <w:rPr>
                <w:rFonts w:ascii="宋体" w:eastAsia="宋体" w:hAnsi="宋体" w:cs="宋体"/>
                <w:kern w:val="0"/>
                <w:sz w:val="24"/>
                <w:szCs w:val="24"/>
              </w:rPr>
              <w:t>年非化石能源消费比重达到</w:t>
            </w:r>
            <w:r>
              <w:rPr>
                <w:rFonts w:ascii="宋体" w:eastAsia="宋体" w:hAnsi="宋体" w:cs="宋体"/>
                <w:kern w:val="0"/>
                <w:sz w:val="24"/>
                <w:szCs w:val="24"/>
              </w:rPr>
              <w:t>25%</w:t>
            </w:r>
            <w:r>
              <w:rPr>
                <w:rFonts w:ascii="宋体" w:eastAsia="宋体" w:hAnsi="宋体" w:cs="宋体"/>
                <w:kern w:val="0"/>
                <w:sz w:val="24"/>
                <w:szCs w:val="24"/>
              </w:rPr>
              <w:t>左右。</w:t>
            </w:r>
            <w:r>
              <w:rPr>
                <w:rFonts w:ascii="宋体" w:eastAsia="宋体" w:hAnsi="宋体" w:cs="宋体"/>
                <w:kern w:val="0"/>
                <w:sz w:val="24"/>
                <w:szCs w:val="24"/>
              </w:rPr>
              <w:t>LSC</w:t>
            </w:r>
            <w:r>
              <w:rPr>
                <w:rFonts w:ascii="宋体" w:eastAsia="宋体" w:hAnsi="宋体" w:cs="宋体"/>
                <w:kern w:val="0"/>
                <w:sz w:val="24"/>
                <w:szCs w:val="24"/>
              </w:rPr>
              <w:t>技术能够实现建筑光伏一体化（</w:t>
            </w:r>
            <w:r>
              <w:rPr>
                <w:rFonts w:ascii="宋体" w:eastAsia="宋体" w:hAnsi="宋体" w:cs="宋体"/>
                <w:kern w:val="0"/>
                <w:sz w:val="24"/>
                <w:szCs w:val="24"/>
              </w:rPr>
              <w:t>BIPV</w:t>
            </w:r>
            <w:r>
              <w:rPr>
                <w:rFonts w:ascii="宋体" w:eastAsia="宋体" w:hAnsi="宋体" w:cs="宋体"/>
                <w:kern w:val="0"/>
                <w:sz w:val="24"/>
                <w:szCs w:val="24"/>
              </w:rPr>
              <w:t>），在建筑立面、窗户等非传统光伏区域实现太阳能发电，是未来城市能源系统的重要组成部分。传统</w:t>
            </w:r>
            <w:r>
              <w:rPr>
                <w:rFonts w:ascii="宋体" w:eastAsia="宋体" w:hAnsi="宋体" w:cs="宋体"/>
                <w:kern w:val="0"/>
                <w:sz w:val="24"/>
                <w:szCs w:val="24"/>
              </w:rPr>
              <w:t>LSC</w:t>
            </w:r>
            <w:r>
              <w:rPr>
                <w:rFonts w:ascii="宋体" w:eastAsia="宋体" w:hAnsi="宋体" w:cs="宋体"/>
                <w:kern w:val="0"/>
                <w:sz w:val="24"/>
                <w:szCs w:val="24"/>
              </w:rPr>
              <w:t>研发依赖</w:t>
            </w:r>
            <w:r>
              <w:rPr>
                <w:rFonts w:ascii="宋体" w:eastAsia="宋体" w:hAnsi="宋体" w:cs="宋体"/>
                <w:kern w:val="0"/>
                <w:sz w:val="24"/>
                <w:szCs w:val="24"/>
              </w:rPr>
              <w:t>"</w:t>
            </w:r>
            <w:r>
              <w:rPr>
                <w:rFonts w:ascii="宋体" w:eastAsia="宋体" w:hAnsi="宋体" w:cs="宋体"/>
                <w:kern w:val="0"/>
                <w:sz w:val="24"/>
                <w:szCs w:val="24"/>
              </w:rPr>
              <w:t>试错法</w:t>
            </w:r>
            <w:r>
              <w:rPr>
                <w:rFonts w:ascii="宋体" w:eastAsia="宋体" w:hAnsi="宋体" w:cs="宋体"/>
                <w:kern w:val="0"/>
                <w:sz w:val="24"/>
                <w:szCs w:val="24"/>
              </w:rPr>
              <w:t>"</w:t>
            </w:r>
            <w:r>
              <w:rPr>
                <w:rFonts w:ascii="宋体" w:eastAsia="宋体" w:hAnsi="宋体" w:cs="宋体"/>
                <w:kern w:val="0"/>
                <w:sz w:val="24"/>
                <w:szCs w:val="24"/>
              </w:rPr>
              <w:t>实验，存在周期长（</w:t>
            </w:r>
            <w:r>
              <w:rPr>
                <w:rFonts w:ascii="宋体" w:eastAsia="宋体" w:hAnsi="宋体" w:cs="宋体"/>
                <w:kern w:val="0"/>
                <w:sz w:val="24"/>
                <w:szCs w:val="24"/>
              </w:rPr>
              <w:t>3-5</w:t>
            </w:r>
            <w:r>
              <w:rPr>
                <w:rFonts w:ascii="宋体" w:eastAsia="宋体" w:hAnsi="宋体" w:cs="宋体"/>
                <w:kern w:val="0"/>
                <w:sz w:val="24"/>
                <w:szCs w:val="24"/>
              </w:rPr>
              <w:t>年）、成本高（单次实验成本数万元）、效率低（理论效率与实际差距大）等问题。光学效率作为</w:t>
            </w:r>
            <w:r>
              <w:rPr>
                <w:rFonts w:ascii="宋体" w:eastAsia="宋体" w:hAnsi="宋体" w:cs="宋体"/>
                <w:kern w:val="0"/>
                <w:sz w:val="24"/>
                <w:szCs w:val="24"/>
              </w:rPr>
              <w:t>LSC</w:t>
            </w:r>
            <w:r>
              <w:rPr>
                <w:rFonts w:ascii="宋体" w:eastAsia="宋体" w:hAnsi="宋体" w:cs="宋体"/>
                <w:kern w:val="0"/>
                <w:sz w:val="24"/>
                <w:szCs w:val="24"/>
              </w:rPr>
              <w:t>的核心性能指标，受材料特性、结构参数、环境条件等多因素耦合影响，传统理论模型难以准确预测，严重制约了</w:t>
            </w:r>
            <w:r>
              <w:rPr>
                <w:rFonts w:ascii="宋体" w:eastAsia="宋体" w:hAnsi="宋体" w:cs="宋体"/>
                <w:kern w:val="0"/>
                <w:sz w:val="24"/>
                <w:szCs w:val="24"/>
              </w:rPr>
              <w:t>LSC</w:t>
            </w:r>
            <w:r>
              <w:rPr>
                <w:rFonts w:ascii="宋体" w:eastAsia="宋体" w:hAnsi="宋体" w:cs="宋体"/>
                <w:kern w:val="0"/>
                <w:sz w:val="24"/>
                <w:szCs w:val="24"/>
              </w:rPr>
              <w:t>的商业化进程。近年来，深度学习、机器学习等</w:t>
            </w:r>
            <w:r>
              <w:rPr>
                <w:rFonts w:ascii="宋体" w:eastAsia="宋体" w:hAnsi="宋体" w:cs="宋体"/>
                <w:kern w:val="0"/>
                <w:sz w:val="24"/>
                <w:szCs w:val="24"/>
              </w:rPr>
              <w:t>AI</w:t>
            </w:r>
            <w:r>
              <w:rPr>
                <w:rFonts w:ascii="宋体" w:eastAsia="宋体" w:hAnsi="宋体" w:cs="宋体"/>
                <w:kern w:val="0"/>
                <w:sz w:val="24"/>
                <w:szCs w:val="24"/>
              </w:rPr>
              <w:t>算法在材料科学领域取得突破性进展。利用</w:t>
            </w:r>
            <w:r>
              <w:rPr>
                <w:rFonts w:ascii="宋体" w:eastAsia="宋体" w:hAnsi="宋体" w:cs="宋体"/>
                <w:kern w:val="0"/>
                <w:sz w:val="24"/>
                <w:szCs w:val="24"/>
              </w:rPr>
              <w:t>AI</w:t>
            </w:r>
            <w:r>
              <w:rPr>
                <w:rFonts w:ascii="宋体" w:eastAsia="宋体" w:hAnsi="宋体" w:cs="宋体"/>
                <w:kern w:val="0"/>
                <w:sz w:val="24"/>
                <w:szCs w:val="24"/>
              </w:rPr>
              <w:t>算法能够选出光学效率较为优秀的各类材料，构建更为稳定、成本更低、能够大面积覆盖、绿色环保的</w:t>
            </w:r>
            <w:r>
              <w:rPr>
                <w:rFonts w:ascii="宋体" w:eastAsia="宋体" w:hAnsi="宋体" w:cs="宋体"/>
                <w:kern w:val="0"/>
                <w:sz w:val="24"/>
                <w:szCs w:val="24"/>
              </w:rPr>
              <w:t>LSC</w:t>
            </w:r>
            <w:r>
              <w:rPr>
                <w:rFonts w:ascii="宋体" w:eastAsia="宋体" w:hAnsi="宋体" w:cs="宋体"/>
                <w:kern w:val="0"/>
                <w:sz w:val="24"/>
                <w:szCs w:val="24"/>
              </w:rPr>
              <w:t>。</w:t>
            </w:r>
          </w:p>
          <w:p>
            <w:pPr>
              <w:widowControl/>
              <w:spacing w:before="240" w:after="240" w:line="405" w:lineRule="atLeast"/>
              <w:jc w:val="left"/>
              <w:rPr>
                <w:rFonts w:ascii="宋体" w:eastAsia="宋体" w:hAnsi="宋体" w:cs="宋体"/>
                <w:kern w:val="0"/>
                <w:sz w:val="24"/>
                <w:szCs w:val="24"/>
              </w:rPr>
            </w:pPr>
            <w:r>
              <w:rPr>
                <w:rFonts w:ascii="宋体" w:eastAsia="宋体" w:hAnsi="宋体" w:cs="宋体"/>
                <w:kern w:val="0"/>
                <w:sz w:val="24"/>
                <w:szCs w:val="24"/>
              </w:rPr>
              <w:t>选择该选题，能够突破传统物理模型局限，构建数据驱动的</w:t>
            </w:r>
            <w:r>
              <w:rPr>
                <w:rFonts w:ascii="宋体" w:eastAsia="宋体" w:hAnsi="宋体" w:cs="宋体"/>
                <w:kern w:val="0"/>
                <w:sz w:val="24"/>
                <w:szCs w:val="24"/>
              </w:rPr>
              <w:t>LSC</w:t>
            </w:r>
            <w:r>
              <w:rPr>
                <w:rFonts w:ascii="宋体" w:eastAsia="宋体" w:hAnsi="宋体" w:cs="宋体"/>
                <w:kern w:val="0"/>
                <w:sz w:val="24"/>
                <w:szCs w:val="24"/>
              </w:rPr>
              <w:t>光学效率预测理论框架，为复杂光电系统建模提供新思路；将</w:t>
            </w:r>
            <w:r>
              <w:rPr>
                <w:rFonts w:ascii="宋体" w:eastAsia="宋体" w:hAnsi="宋体" w:cs="宋体"/>
                <w:kern w:val="0"/>
                <w:sz w:val="24"/>
                <w:szCs w:val="24"/>
              </w:rPr>
              <w:t>AI</w:t>
            </w:r>
            <w:r>
              <w:rPr>
                <w:rFonts w:ascii="宋体" w:eastAsia="宋体" w:hAnsi="宋体" w:cs="宋体"/>
                <w:kern w:val="0"/>
                <w:sz w:val="24"/>
                <w:szCs w:val="24"/>
              </w:rPr>
              <w:t>算法与材料科学深度融合，可以丰富材料基因工程的理论体系，为其他功能材料设计提供借鉴；通过</w:t>
            </w:r>
            <w:r>
              <w:rPr>
                <w:rFonts w:ascii="宋体" w:eastAsia="宋体" w:hAnsi="宋体" w:cs="宋体"/>
                <w:kern w:val="0"/>
                <w:sz w:val="24"/>
                <w:szCs w:val="24"/>
              </w:rPr>
              <w:t>AI</w:t>
            </w:r>
            <w:r>
              <w:rPr>
                <w:rFonts w:ascii="宋体" w:eastAsia="宋体" w:hAnsi="宋体" w:cs="宋体"/>
                <w:kern w:val="0"/>
                <w:sz w:val="24"/>
                <w:szCs w:val="24"/>
              </w:rPr>
              <w:t>优化设计，使</w:t>
            </w:r>
            <w:r>
              <w:rPr>
                <w:rFonts w:ascii="宋体" w:eastAsia="宋体" w:hAnsi="宋体" w:cs="宋体"/>
                <w:kern w:val="0"/>
                <w:sz w:val="24"/>
                <w:szCs w:val="24"/>
              </w:rPr>
              <w:t>LSC</w:t>
            </w:r>
            <w:r>
              <w:rPr>
                <w:rFonts w:ascii="宋体" w:eastAsia="宋体" w:hAnsi="宋体" w:cs="宋体"/>
                <w:kern w:val="0"/>
                <w:sz w:val="24"/>
                <w:szCs w:val="24"/>
              </w:rPr>
              <w:t>光学效率提升，显著提高太阳能利用率。同时</w:t>
            </w:r>
            <w:r>
              <w:rPr>
                <w:rFonts w:ascii="宋体" w:eastAsia="宋体" w:hAnsi="宋体" w:cs="宋体"/>
                <w:kern w:val="0"/>
                <w:sz w:val="24"/>
                <w:szCs w:val="24"/>
              </w:rPr>
              <w:t>LSC</w:t>
            </w:r>
            <w:r>
              <w:rPr>
                <w:rFonts w:ascii="宋体" w:eastAsia="宋体" w:hAnsi="宋体" w:cs="宋体"/>
                <w:kern w:val="0"/>
                <w:sz w:val="24"/>
                <w:szCs w:val="24"/>
              </w:rPr>
              <w:t>技术推广可大幅提升城市建筑太阳能利用率，减少化石能源消耗，降低碳排放，立足国家战略需求，瞄准技术瓶颈问题，通过多学科交叉创新，具有重要的理论价值和广阔的应用前景。</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984"/>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360" w:lineRule="atLeast"/>
              <w:jc w:val="left"/>
              <w:rPr>
                <w:rFonts w:eastAsia="楷体"/>
                <w:b/>
                <w:sz w:val="24"/>
              </w:rPr>
            </w:pPr>
            <w:r>
              <w:rPr>
                <w:rFonts w:eastAsia="楷体" w:hint="eastAsia"/>
                <w:b/>
                <w:sz w:val="24"/>
              </w:rPr>
              <w:t>3</w:t>
            </w:r>
            <w:r w:rsidR="005824EA">
              <w:rPr>
                <w:rFonts w:ascii="Times New Roman" w:eastAsia="楷体" w:hAnsi="Times New Roman" w:hint="eastAsia"/>
                <w:b/>
                <w:bCs/>
                <w:sz w:val="24"/>
                <w:szCs w:val="24"/>
              </w:rPr>
              <w:t>．</w:t>
            </w:r>
            <w:r w:rsidR="00021171">
              <w:rPr>
                <w:rFonts w:eastAsia="楷体" w:hint="eastAsia"/>
                <w:b/>
                <w:sz w:val="24"/>
              </w:rPr>
              <w:t>课题研究内容：</w:t>
            </w:r>
          </w:p>
          <w:p>
            <w:pPr>
              <w:widowControl/>
              <w:spacing w:after="240"/>
              <w:jc w:val="left"/>
              <w:rPr>
                <w:rFonts w:ascii="宋体" w:eastAsia="宋体" w:hAnsi="宋体" w:cs="宋体"/>
                <w:kern w:val="0"/>
                <w:sz w:val="24"/>
                <w:szCs w:val="24"/>
              </w:rPr>
            </w:pP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一、荧光太阳能聚光器（LSC）光学效率影响因素分析</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1、材料特性参数体系构造</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系统梳理影响LSC光学效率的关键材料参数，包括荧光材料的吸收光谱、发射光谱、量子产率、斯托克斯位移、荧光寿命、热稳定性等光学特性，以及基质材料的折射率、透光率、散射特性等物理参数；</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2、结构参数与光学性能关联机制</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研究LSC器件结构参数（如聚光器尺寸、厚度、几何形状、边缘反射层设计、表面微结构等）对光子传输路径、自吸收损耗、波导效率的影响规律。通过蒙特卡洛光子追踪模拟，量化各结构参数对光学效率的贡献度，识别关键敏感参数；</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3、环境因素耦合效应</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分析温度、光照强度、入射角度、光谱分布等环境条件对LSC性能的影响机制，建立多因素耦合作用下的性能衰减模型，为实际应用场景下的性能预测提供理论支撑。</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二、荧光材料与LSC性能数据库构建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利用现有国内外公开文献、专利、实验报告等中的荧光材料性能数据和LSC器件测试数据以及目前实验得出的相关数据，建立统一的数据标准化规范，包括数据清洗、格式转换、单位统一、异常值处理等流程。</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三、人工智能预测模型构建与优化</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采用主成分分析（PCA）、t-SNE、自编码器等降维技术，从高维特征中提取关键特征子集，降低模型复杂度，提高训练效率。研究特征重要性排序方法，识别对光学效率预测贡献最大的关键特征。构建多种AI预测模型，包括：</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1、传统机器学习模型：支持向量回归（SVR）、随机森林回归（RF）、梯度提升回归树（GBDT）等；</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2、深度学习模型：多层感知机（MLP）、卷积神经网络（CNN）、循环神经网络（RNN）、图神经网络（GNN）、人工神经网络（ANN）等；</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3、物理信息神经网络（PINN）：将辐射传输方程、能量守恒定律等物理约束嵌入神经网络训练过程，实现数据驱动与物理规律相结合，提高模型的可解释性和外推能力。</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4、贝叶斯优化方法：结合高斯过程回归（GPR）等概率模型，通过贝叶斯推断进行参数优化和不确定性量化，在有限样本下实现高效预测，同时提供预测置信区间。</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5、集成学习算法：采用XGBoost、LightGBM等集成学习方法，通过组合多个弱学习器提升预测精度和泛化能力，有效处理高维特征和噪声数据。</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采用Stacking、Bagging、Boosting等集成学习方法，融合多个基学习器的预测结果，提升模型泛化能力。通过网格搜索、贝叶斯优化、遗传算法等超参数优化方法，寻找最优模型配置。采用SHAP、LIME等可解释性工具，分析模型决策过程，揭示"材料-结构-性能"之间的内在关联规律，为LSC设计提供物理指导。</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四、LSC逆向设计与性能优化</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构建条件生成对抗网络（cGAN），以目标光学效率为条件，生成满足性能要求的荧光材料分子结构或组分配方，实现"性能-材料"的逆向映射。采用多目标遗传算法（NSGA-II）、粒子群优化（PSO）等算法，同时优化光学效率、成本、稳定性等多个目标，获得Pareto最优解集，为LSC设计提供多方案选择。构建基于强化学习的LSC设计框架，通过智能体与环境（仿真模型）的交互学习，探索最优设计策略，实现从"经验驱动"向"智能驱动"的转变。</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五、实验验证与模型评估</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采用均方根误差（RMSE）、平均绝对误差（MAE）、决定系数（R²）、平均绝对百分比误差（MAPE）等指标，全面评估预测模型的精度、稳定性和泛化能力。选取典型荧光材料体系（如CsPbBr3量子点、稀土掺杂荧光粉），制备LSC器件，测试实际光学效率，与模型预测结果进行对比验证，评估模型在实际应用中的可靠性。采用蒙特卡洛Dropout、贝叶斯神经网络等方法，量化模型预测的不确定性，为LSC设计提供置信区间，指导实验验证的优先级排序。</w:t>
            </w: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1126"/>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hint="eastAsia"/>
                <w:b/>
                <w:sz w:val="24"/>
              </w:rPr>
              <w:t>4</w:t>
            </w:r>
            <w:r w:rsidR="005824EA">
              <w:rPr>
                <w:rFonts w:ascii="Times New Roman" w:eastAsia="楷体" w:hAnsi="Times New Roman" w:hint="eastAsia"/>
                <w:b/>
                <w:bCs/>
                <w:sz w:val="24"/>
                <w:szCs w:val="24"/>
              </w:rPr>
              <w:t>．</w:t>
            </w:r>
            <w:r>
              <w:rPr>
                <w:rFonts w:eastAsia="楷体" w:hint="eastAsia"/>
                <w:b/>
                <w:sz w:val="24"/>
              </w:rPr>
              <w:t>拟解决的关键问题和最终目标，以及拟采取的主要理论、技术路线和实施方案等：</w:t>
            </w:r>
          </w:p>
          <w:p>
            <w:pPr>
              <w:widowControl/>
              <w:spacing w:after="240"/>
              <w:jc w:val="left"/>
              <w:rPr>
                <w:rFonts w:ascii="宋体" w:eastAsia="宋体" w:hAnsi="宋体" w:cs="宋体"/>
                <w:kern w:val="0"/>
                <w:sz w:val="24"/>
                <w:szCs w:val="24"/>
              </w:rPr>
            </w:pP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拟解决的关键问题包括：</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1、多因素耦合下的光学效率精准预测难题</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荧光太阳能聚光器（LSC）的光学效率受材料特性、结构参数、环境条件等多达30-50个因素的复杂耦合影响，传统物理模型难以准确描述这种高维非线性关系。需要建立能够同时考虑材料光学性质、光子传输路径、自吸收损耗、波导效率等多尺度物理过程的智能预测模型；</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2、小样本数据下的模型泛化能力不足</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荧光材料实验数据稀缺且获取成本高，现有数据库规模有限（通常仅数百组数据），导致AI模型容易过拟合，泛化能力差。需要开发适用于小样本学习的迁移学习、数据增强、半监督学习等算法，提升模型在有限数据下的预测精度；</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3、模型可解释性与物理规律融合问题</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传统AI模型多为"黑箱"模型，难以揭示"材料-结构-性能"之间的内在物理机制，无法为LSC设计提供理论指导。需要将物理守恒方程、经验公式等先验知识嵌入模型，实现数据驱动与物理规律的双向融合；</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4、逆向设计中的多目标优化挑战</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LSC设计需要同时优化光学效率、成本、稳定性、制备工艺等多个目标，这些目标往往相互冲突，传统优化方法难以找到全局最优解。需要开发多目标优化算法，实现性能-成本-可行性的协同优化。</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最终目标包括：</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1、建立高精度预测模型体系</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构建包含传统机器学习、深度学习、物理信息神经网络等多层次AI预测模型，实现LSC光学效率的精准预测，为LSC设计提供可靠的理论工具；</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2、实现实验验证与性能提升</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通过实验制备典型LSC器件，验证模型预测结果的可靠性，指导新型荧光材料开发和LSC结构优化。</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拟采取的主要理论包括：</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1、机器学习理论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采用支持向量机（SVM）、随机森林（RF）、梯度提升树（GBDT）等传统机器学习算法，建立材料特性与光学效率之间的非线性映射关系。利用集成学习理论，通过Bagging、Boosting等方法提升模型泛化能力。</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2、深度学习理论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构建多层感知机（MLP）、卷积神经网络（CNN）、循环神经网络（RNN）等深度网络结构，自动提取高维特征，处理复杂的非线性关系。采用注意力机制、残差连接等先进网络架构，提升模型表达能力。</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3、物理信息神经网络（PINN）理论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将辐射传输方程、能量守恒定律、菲涅尔公式等物理约束作为正则化项嵌入神经网络损失函数，实现数据驱动与物理规律的双向融合，提高模型的可解释性和外推能力。</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4、贝叶斯优化理论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采用高斯过程回归（GPR）等概率模型，通过贝叶斯推断进行参数优化和不确定性量化，在有限样本下实现高效预测，同时提供预测置信区间。</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5、生成对抗网络理论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构建条件生成对抗网络（cGAN），以目标光学效率为条件，生成满足性能要求的荧光材料分子结构或组分配方，实现"性能-材料"的逆向映射。</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技术路线包括：</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1、数据驱动的预测模型构建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收集荧光材料性能数据和LSC器件测试数据，建立标准化数据库，采用PCA、t-SNE等方法降维，识别关键特征。构建SVM、RF、XGBoost、MLP、CNN等多算法模型，采用Stacking、Bagging等方法融合多个基学习器，通过网格搜索、贝叶斯优化等方法寻找最优模型配置。</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2、物理约束的智能建模</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将辐射传输方程、能量守恒定律等作为PINN的约束条件，建立从分子尺度到器件尺度的跨尺度预测模型，采用SHAP、LIME等工具揭示模型决策机制。</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3、逆向设计与性能优化</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构建cGAN实现"性能-材料"的逆向映射，采用NSGA-II、PSO等算法同时优化效率、成本、稳定性，构建智能体与环境交互的强化学习框架。</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实施方案为：</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首先进行文献调研与理论梳理，明确研究思路，依据现有材料建立荧光材料与LSC性能数据库，完成数据清洗与标准化，随后搭建计算环境，配置深度学习框架，构建传统机器学习模型、深度学习模型、物理约束神经网络等模型进行训练及性能评估与对比分析。最后进行逆向设计与优化，构造生成对抗网络，实现材料逆向设计、开发多目标优化算法，完成模型可解释性分析。</w:t>
            </w:r>
          </w:p>
          <w:p>
            <w:pPr>
              <w:widowControl/>
              <w:spacing w:before="240" w:after="240"/>
              <w:jc w:val="left"/>
              <w:rPr>
                <w:rFonts w:ascii="宋体" w:eastAsia="宋体" w:hAnsi="宋体" w:cs="宋体"/>
                <w:kern w:val="0"/>
                <w:sz w:val="24"/>
                <w:szCs w:val="24"/>
              </w:rPr>
            </w:pP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983"/>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b/>
                <w:sz w:val="24"/>
              </w:rPr>
              <w:t>5</w:t>
            </w:r>
            <w:r w:rsidR="005824EA">
              <w:rPr>
                <w:rFonts w:ascii="Times New Roman" w:eastAsia="楷体" w:hAnsi="Times New Roman" w:hint="eastAsia"/>
                <w:b/>
                <w:bCs/>
                <w:sz w:val="24"/>
                <w:szCs w:val="24"/>
              </w:rPr>
              <w:t>．</w:t>
            </w:r>
            <w:r w:rsidR="00021171">
              <w:rPr>
                <w:rFonts w:eastAsia="楷体" w:hint="eastAsia"/>
                <w:b/>
                <w:sz w:val="24"/>
              </w:rPr>
              <w:t>论文特色或创新点：</w:t>
            </w:r>
          </w:p>
          <w:p>
            <w:pPr>
              <w:widowControl/>
              <w:spacing w:after="240" w:line="405" w:lineRule="atLeast"/>
              <w:jc w:val="left"/>
              <w:rPr>
                <w:rFonts w:ascii="宋体" w:eastAsia="宋体" w:hAnsi="宋体" w:cs="宋体"/>
                <w:kern w:val="0"/>
                <w:sz w:val="24"/>
                <w:szCs w:val="24"/>
              </w:rPr>
            </w:pPr>
            <w:r>
              <w:rPr>
                <w:rFonts w:ascii="宋体" w:eastAsia="宋体" w:hAnsi="宋体" w:cs="宋体"/>
                <w:kern w:val="0"/>
                <w:sz w:val="24"/>
                <w:szCs w:val="24"/>
              </w:rPr>
              <w:t>多学科深度交叉融合，包括材料科学、光学工程、计算机科学、人工智能等多个学科深度融合，构建了"材料-结构-性能"一体化的智能预测框架。</w:t>
            </w:r>
          </w:p>
          <w:p>
            <w:pPr>
              <w:widowControl/>
              <w:spacing w:before="240" w:after="240" w:line="405" w:lineRule="atLeast"/>
              <w:jc w:val="left"/>
              <w:rPr>
                <w:rFonts w:ascii="宋体" w:eastAsia="宋体" w:hAnsi="宋体" w:cs="宋体"/>
                <w:kern w:val="0"/>
                <w:sz w:val="24"/>
                <w:szCs w:val="24"/>
              </w:rPr>
            </w:pPr>
            <w:r>
              <w:rPr>
                <w:rFonts w:ascii="宋体" w:eastAsia="宋体" w:hAnsi="宋体" w:cs="宋体"/>
                <w:kern w:val="0"/>
                <w:sz w:val="24"/>
                <w:szCs w:val="24"/>
              </w:rPr>
              <w:t>数据驱动与物理规律相融合，突破传统</w:t>
            </w:r>
            <w:r>
              <w:rPr>
                <w:rFonts w:ascii="宋体" w:eastAsia="宋体" w:hAnsi="宋体" w:cs="宋体"/>
                <w:kern w:val="0"/>
                <w:sz w:val="24"/>
                <w:szCs w:val="24"/>
              </w:rPr>
              <w:t>"</w:t>
            </w:r>
            <w:r>
              <w:rPr>
                <w:rFonts w:ascii="宋体" w:eastAsia="宋体" w:hAnsi="宋体" w:cs="宋体"/>
                <w:kern w:val="0"/>
                <w:sz w:val="24"/>
                <w:szCs w:val="24"/>
              </w:rPr>
              <w:t>纯数据驱动</w:t>
            </w:r>
            <w:r>
              <w:rPr>
                <w:rFonts w:ascii="宋体" w:eastAsia="宋体" w:hAnsi="宋体" w:cs="宋体"/>
                <w:kern w:val="0"/>
                <w:sz w:val="24"/>
                <w:szCs w:val="24"/>
              </w:rPr>
              <w:t>"</w:t>
            </w:r>
            <w:r>
              <w:rPr>
                <w:rFonts w:ascii="宋体" w:eastAsia="宋体" w:hAnsi="宋体" w:cs="宋体"/>
                <w:kern w:val="0"/>
                <w:sz w:val="24"/>
                <w:szCs w:val="24"/>
              </w:rPr>
              <w:t>或</w:t>
            </w:r>
            <w:r>
              <w:rPr>
                <w:rFonts w:ascii="宋体" w:eastAsia="宋体" w:hAnsi="宋体" w:cs="宋体"/>
                <w:kern w:val="0"/>
                <w:sz w:val="24"/>
                <w:szCs w:val="24"/>
              </w:rPr>
              <w:t>"</w:t>
            </w:r>
            <w:r>
              <w:rPr>
                <w:rFonts w:ascii="宋体" w:eastAsia="宋体" w:hAnsi="宋体" w:cs="宋体"/>
                <w:kern w:val="0"/>
                <w:sz w:val="24"/>
                <w:szCs w:val="24"/>
              </w:rPr>
              <w:t>纯物理建模</w:t>
            </w:r>
            <w:r>
              <w:rPr>
                <w:rFonts w:ascii="宋体" w:eastAsia="宋体" w:hAnsi="宋体" w:cs="宋体"/>
                <w:kern w:val="0"/>
                <w:sz w:val="24"/>
                <w:szCs w:val="24"/>
              </w:rPr>
              <w:t>"</w:t>
            </w:r>
            <w:r>
              <w:rPr>
                <w:rFonts w:ascii="宋体" w:eastAsia="宋体" w:hAnsi="宋体" w:cs="宋体"/>
                <w:kern w:val="0"/>
                <w:sz w:val="24"/>
                <w:szCs w:val="24"/>
              </w:rPr>
              <w:t>的局限，创新性地将物理守恒方程、经验公式等先验知识嵌入神经网络，实现了数据驱动与物理规律的双向融合，既保证了预测精度，又增强了模型的可解释性。</w:t>
            </w:r>
          </w:p>
          <w:p>
            <w:pPr>
              <w:widowControl/>
              <w:spacing w:before="240" w:after="240"/>
              <w:jc w:val="left"/>
              <w:rPr>
                <w:rFonts w:ascii="宋体" w:eastAsia="宋体" w:hAnsi="宋体" w:cs="宋体"/>
                <w:kern w:val="0"/>
                <w:sz w:val="24"/>
                <w:szCs w:val="24"/>
              </w:rPr>
            </w:pPr>
            <w:r>
              <w:rPr>
                <w:rFonts w:ascii="宋体" w:eastAsia="宋体" w:hAnsi="宋体" w:cs="宋体"/>
                <w:kern w:val="0"/>
                <w:sz w:val="24"/>
                <w:szCs w:val="24"/>
              </w:rPr>
              <w:t>创新性地构建了以目标光学效率为条件的生成对抗网络，实现了从</w:t>
            </w:r>
            <w:r>
              <w:rPr>
                <w:rFonts w:ascii="宋体" w:eastAsia="宋体" w:hAnsi="宋体" w:cs="宋体"/>
                <w:kern w:val="0"/>
                <w:sz w:val="24"/>
                <w:szCs w:val="24"/>
              </w:rPr>
              <w:t>"</w:t>
            </w:r>
            <w:r>
              <w:rPr>
                <w:rFonts w:ascii="宋体" w:eastAsia="宋体" w:hAnsi="宋体" w:cs="宋体"/>
                <w:kern w:val="0"/>
                <w:sz w:val="24"/>
                <w:szCs w:val="24"/>
              </w:rPr>
              <w:t>性能需求</w:t>
            </w:r>
            <w:r>
              <w:rPr>
                <w:rFonts w:ascii="宋体" w:eastAsia="宋体" w:hAnsi="宋体" w:cs="宋体"/>
                <w:kern w:val="0"/>
                <w:sz w:val="24"/>
                <w:szCs w:val="24"/>
              </w:rPr>
              <w:t>"</w:t>
            </w:r>
            <w:r>
              <w:rPr>
                <w:rFonts w:ascii="宋体" w:eastAsia="宋体" w:hAnsi="宋体" w:cs="宋体"/>
                <w:kern w:val="0"/>
                <w:sz w:val="24"/>
                <w:szCs w:val="24"/>
              </w:rPr>
              <w:t>到</w:t>
            </w:r>
            <w:r>
              <w:rPr>
                <w:rFonts w:ascii="宋体" w:eastAsia="宋体" w:hAnsi="宋体" w:cs="宋体"/>
                <w:kern w:val="0"/>
                <w:sz w:val="24"/>
                <w:szCs w:val="24"/>
              </w:rPr>
              <w:t>"</w:t>
            </w:r>
            <w:r>
              <w:rPr>
                <w:rFonts w:ascii="宋体" w:eastAsia="宋体" w:hAnsi="宋体" w:cs="宋体"/>
                <w:kern w:val="0"/>
                <w:sz w:val="24"/>
                <w:szCs w:val="24"/>
              </w:rPr>
              <w:t>材料设计</w:t>
            </w:r>
            <w:r>
              <w:rPr>
                <w:rFonts w:ascii="宋体" w:eastAsia="宋体" w:hAnsi="宋体" w:cs="宋体"/>
                <w:kern w:val="0"/>
                <w:sz w:val="24"/>
                <w:szCs w:val="24"/>
              </w:rPr>
              <w:t>"</w:t>
            </w:r>
            <w:r>
              <w:rPr>
                <w:rFonts w:ascii="宋体" w:eastAsia="宋体" w:hAnsi="宋体" w:cs="宋体"/>
                <w:kern w:val="0"/>
                <w:sz w:val="24"/>
                <w:szCs w:val="24"/>
              </w:rPr>
              <w:t>的逆向映射。该方法能够根据目标光学效率、成本约束、稳定性要求等条件，自动生成满足性能要求的荧光材料分子结构或组分配方，突破了传统</w:t>
            </w:r>
            <w:r>
              <w:rPr>
                <w:rFonts w:ascii="宋体" w:eastAsia="宋体" w:hAnsi="宋体" w:cs="宋体"/>
                <w:kern w:val="0"/>
                <w:sz w:val="24"/>
                <w:szCs w:val="24"/>
              </w:rPr>
              <w:t>"</w:t>
            </w:r>
            <w:r>
              <w:rPr>
                <w:rFonts w:ascii="宋体" w:eastAsia="宋体" w:hAnsi="宋体" w:cs="宋体"/>
                <w:kern w:val="0"/>
                <w:sz w:val="24"/>
                <w:szCs w:val="24"/>
              </w:rPr>
              <w:t>试错法</w:t>
            </w:r>
            <w:r>
              <w:rPr>
                <w:rFonts w:ascii="宋体" w:eastAsia="宋体" w:hAnsi="宋体" w:cs="宋体"/>
                <w:kern w:val="0"/>
                <w:sz w:val="24"/>
                <w:szCs w:val="24"/>
              </w:rPr>
              <w:t>"</w:t>
            </w:r>
            <w:r>
              <w:rPr>
                <w:rFonts w:ascii="宋体" w:eastAsia="宋体" w:hAnsi="宋体" w:cs="宋体"/>
                <w:kern w:val="0"/>
                <w:sz w:val="24"/>
                <w:szCs w:val="24"/>
              </w:rPr>
              <w:t>设计的局限。</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2229"/>
          <w:jc w:val="center"/>
        </w:trPr>
        <w:tc>
          <w:tcPr>
            <w:tcW w:w="978" w:type="dxa"/>
            <w:tcBorders>
              <w:top w:val="single" w:sz="4" w:space="0" w:color="auto"/>
              <w:left w:val="single" w:sz="12" w:space="0" w:color="auto"/>
              <w:right w:val="single" w:sz="4" w:space="0" w:color="auto"/>
            </w:tcBorders>
          </w:tcPr>
          <w:p w:rsidR="00453359" w:rsidRPr="002C0103">
            <w:pPr>
              <w:spacing w:after="0" w:line="400" w:lineRule="exact"/>
              <w:jc w:val="center"/>
              <w:rPr>
                <w:rFonts w:ascii="Times New Roman" w:eastAsia="楷体" w:hAnsi="Times New Roman"/>
                <w:b/>
                <w:color w:val="000000"/>
                <w:sz w:val="24"/>
              </w:rPr>
            </w:pPr>
            <w:r w:rsidRPr="002C0103">
              <w:rPr>
                <w:rFonts w:ascii="Times New Roman" w:eastAsia="楷体" w:hAnsi="Times New Roman" w:hint="eastAsia"/>
                <w:b/>
                <w:color w:val="000000"/>
                <w:sz w:val="24"/>
              </w:rPr>
              <w:t>导师</w:t>
            </w:r>
          </w:p>
          <w:p w:rsidR="00453359" w:rsidRPr="002C0103">
            <w:pPr>
              <w:spacing w:after="0" w:line="400" w:lineRule="exact"/>
              <w:jc w:val="center"/>
              <w:rPr>
                <w:rFonts w:ascii="Times New Roman" w:eastAsia="楷体" w:hAnsi="Times New Roman"/>
                <w:b/>
                <w:color w:val="000000"/>
                <w:sz w:val="24"/>
              </w:rPr>
            </w:pPr>
            <w:r w:rsidRPr="002C0103">
              <w:rPr>
                <w:rFonts w:ascii="Times New Roman" w:eastAsia="楷体" w:hAnsi="Times New Roman" w:hint="eastAsia"/>
                <w:b/>
                <w:color w:val="000000"/>
                <w:sz w:val="24"/>
              </w:rPr>
              <w:t>审查</w:t>
            </w:r>
          </w:p>
          <w:p w:rsidR="00453359" w:rsidRPr="002C0103">
            <w:pPr>
              <w:spacing w:after="0" w:line="480" w:lineRule="auto"/>
              <w:jc w:val="center"/>
              <w:rPr>
                <w:rFonts w:ascii="Times New Roman" w:eastAsia="楷体" w:hAnsi="Times New Roman" w:cs="Times New Roman"/>
                <w:b/>
                <w:sz w:val="24"/>
              </w:rPr>
            </w:pPr>
            <w:r w:rsidRPr="002C0103">
              <w:rPr>
                <w:rFonts w:ascii="Times New Roman" w:eastAsia="楷体" w:hAnsi="Times New Roman" w:hint="eastAsia"/>
                <w:b/>
                <w:color w:val="000000"/>
                <w:sz w:val="24"/>
              </w:rPr>
              <w:t>意见</w:t>
            </w:r>
          </w:p>
        </w:tc>
        <w:tc>
          <w:tcPr>
            <w:tcW w:w="8788" w:type="dxa"/>
            <w:gridSpan w:val="4"/>
            <w:tcBorders>
              <w:top w:val="nil"/>
              <w:left w:val="single" w:sz="4" w:space="0" w:color="auto"/>
              <w:right w:val="single" w:sz="12" w:space="0" w:color="auto"/>
            </w:tcBorders>
          </w:tcPr>
          <w:p w:rsidR="00453359" w:rsidRPr="002C0103" w:rsidP="002C0103">
            <w:pPr>
              <w:tabs>
                <w:tab w:val="left" w:pos="6517"/>
              </w:tabs>
              <w:spacing w:after="0" w:line="480" w:lineRule="auto"/>
              <w:rPr>
                <w:rFonts w:eastAsia="楷体"/>
                <w:b/>
                <w:sz w:val="24"/>
              </w:rPr>
            </w:pPr>
            <w:r w:rsidRPr="002C0103">
              <w:rPr>
                <w:rFonts w:eastAsia="楷体" w:asciiTheme="minorEastAsia" w:hAnsiTheme="minorEastAsia" w:cs="Times New Roman"/>
                <w:b/>
                <w:sz w:val="24"/>
              </w:rPr>
              <w:t>同意通过</w:t>
            </w:r>
          </w:p>
          <w:p w:rsidR="00453359" w:rsidRPr="002C0103">
            <w:pPr>
              <w:spacing w:after="0" w:line="360" w:lineRule="atLeast"/>
              <w:ind w:firstLine="2880" w:firstLineChars="1200"/>
              <w:jc w:val="left"/>
              <w:rPr>
                <w:rFonts w:eastAsia="楷体" w:asciiTheme="minorEastAsia" w:hAnsiTheme="minorEastAsia" w:cs="Times New Roman"/>
                <w:b/>
                <w:sz w:val="24"/>
              </w:rPr>
            </w:pPr>
            <w:r w:rsidRPr="002C0103">
              <w:rPr>
                <w:rFonts w:ascii="Times New Roman" w:eastAsia="楷体" w:hAnsi="Times New Roman" w:cs="Times New Roman" w:hint="eastAsia"/>
                <w:b/>
                <w:sz w:val="24"/>
              </w:rPr>
              <w:t>签名：</w:t>
            </w:r>
            <w:r w:rsidRPr="002C0103">
              <w:rPr>
                <w:rFonts w:eastAsia="楷体" w:asciiTheme="minorEastAsia" w:hAnsiTheme="minorEastAsia" w:cs="Times New Roman"/>
                <w:b/>
                <w:sz w:val="24"/>
              </w:rPr>
              <w:t>罗消</w:t>
            </w:r>
          </w:p>
          <w:p w:rsidR="00453359" w:rsidRPr="002C0103">
            <w:pPr>
              <w:spacing w:after="0" w:line="360" w:lineRule="atLeast"/>
              <w:ind w:firstLine="2880" w:firstLineChars="1200"/>
              <w:jc w:val="left"/>
              <w:rPr>
                <w:rFonts w:eastAsia="楷体"/>
                <w:b/>
                <w:sz w:val="24"/>
              </w:rPr>
            </w:pPr>
            <w:r w:rsidRPr="002C0103">
              <w:rPr>
                <w:rFonts w:ascii="Times New Roman" w:eastAsia="楷体" w:hAnsi="Times New Roman" w:cs="Times New Roman"/>
                <w:b/>
                <w:sz w:val="24"/>
              </w:rPr>
              <w:t>日期：</w:t>
            </w:r>
            <w:r w:rsidRPr="002C0103">
              <w:rPr>
                <w:rFonts w:eastAsia="楷体" w:asciiTheme="minorEastAsia" w:hAnsiTheme="minorEastAsia" w:cs="Times New Roman"/>
                <w:b/>
                <w:sz w:val="24"/>
              </w:rPr>
              <w:t>2025年12月31日</w:t>
            </w:r>
          </w:p>
        </w:tc>
      </w:tr>
    </w:tbl>
    <w:p w:rsidR="00453359" w:rsidRPr="00265A96" w:rsidP="00265A96">
      <w:pPr>
        <w:ind w:right="964"/>
        <w:jc w:val="left"/>
        <w:rPr>
          <w:rFonts w:ascii="Times New Roman" w:eastAsia="楷体" w:hAnsi="Times New Roman"/>
          <w:b/>
          <w:bCs/>
          <w:sz w:val="18"/>
          <w:szCs w:val="18"/>
        </w:rPr>
      </w:pPr>
      <w:bookmarkStart w:id="1" w:name="_Toc450137474"/>
      <w:r>
        <w:rPr>
          <w:rFonts w:eastAsia="楷体" w:hint="eastAsia"/>
          <w:bCs/>
          <w:szCs w:val="21"/>
        </w:rPr>
        <w:t>注意事项：正文总字数限制为</w:t>
      </w:r>
      <w:r>
        <w:rPr>
          <w:rFonts w:eastAsia="楷体"/>
          <w:bCs/>
          <w:szCs w:val="21"/>
        </w:rPr>
        <w:t>1500-2000</w:t>
      </w:r>
      <w:r>
        <w:rPr>
          <w:rFonts w:eastAsia="楷体"/>
          <w:bCs/>
          <w:szCs w:val="21"/>
        </w:rPr>
        <w:t>字，参考毕业论文正文格式：宋体小</w:t>
      </w:r>
      <w:r>
        <w:rPr>
          <w:rFonts w:eastAsia="楷体"/>
          <w:bCs/>
          <w:szCs w:val="21"/>
        </w:rPr>
        <w:t>4</w:t>
      </w:r>
      <w:r>
        <w:rPr>
          <w:rFonts w:eastAsia="楷体"/>
          <w:bCs/>
          <w:szCs w:val="21"/>
        </w:rPr>
        <w:t>号，英文字体为</w:t>
      </w:r>
      <w:r>
        <w:rPr>
          <w:rFonts w:eastAsia="楷体"/>
          <w:bCs/>
          <w:szCs w:val="21"/>
        </w:rPr>
        <w:t>Times New Rome</w:t>
      </w:r>
      <w:r>
        <w:rPr>
          <w:rFonts w:eastAsia="楷体"/>
          <w:bCs/>
          <w:szCs w:val="21"/>
        </w:rPr>
        <w:t>，行间距固定</w:t>
      </w:r>
      <w:r>
        <w:rPr>
          <w:rFonts w:eastAsia="楷体"/>
          <w:bCs/>
          <w:szCs w:val="21"/>
        </w:rPr>
        <w:t>20</w:t>
      </w:r>
      <w:r>
        <w:rPr>
          <w:rFonts w:eastAsia="楷体"/>
          <w:bCs/>
          <w:szCs w:val="21"/>
        </w:rPr>
        <w:t>磅，可另加页</w:t>
      </w:r>
      <w:bookmarkEnd w:id="1"/>
      <w:r w:rsidR="00B9367A">
        <w:rPr>
          <w:rFonts w:eastAsia="楷体" w:hint="eastAsia"/>
          <w:bCs/>
          <w:szCs w:val="21"/>
        </w:rPr>
        <w:t>。</w:t>
      </w:r>
    </w:p>
    <w:sectPr w:rsidSect="00453359">
      <w:pgSz w:w="11906" w:h="16838"/>
      <w:pgMar w:top="1134" w:right="1134" w:bottom="1134" w:left="1134" w:header="851" w:footer="992"/>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5A64B1"/>
    <w:multiLevelType w:val="multilevel"/>
    <w:tmpl w:val="395A64B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70C03FCD"/>
    <w:multiLevelType w:val="multilevel"/>
    <w:tmpl w:val="70C03FCD"/>
    <w:lvl w:ilvl="0">
      <w:start w:val="1"/>
      <w:numFmt w:val="upperRoman"/>
      <w:pStyle w:val="Heading1"/>
      <w:lvlText w:val="第 %1 条"/>
      <w:lvlJc w:val="left"/>
      <w:pPr>
        <w:tabs>
          <w:tab w:val="left" w:pos="1440"/>
        </w:tabs>
        <w:ind w:left="0" w:firstLine="0"/>
      </w:pPr>
    </w:lvl>
    <w:lvl w:ilvl="1">
      <w:start w:val="1"/>
      <w:numFmt w:val="decimalZero"/>
      <w:pStyle w:val="Heading2"/>
      <w:isLgl/>
      <w:lvlText w:val="节 %1.%2"/>
      <w:lvlJc w:val="left"/>
      <w:pPr>
        <w:tabs>
          <w:tab w:val="left" w:pos="1080"/>
        </w:tabs>
        <w:ind w:left="0" w:firstLine="0"/>
      </w:pPr>
    </w:lvl>
    <w:lvl w:ilvl="2">
      <w:start w:val="1"/>
      <w:numFmt w:val="lowerLetter"/>
      <w:pStyle w:val="Heading3"/>
      <w:lvlText w:val="(%3)"/>
      <w:lvlJc w:val="left"/>
      <w:pPr>
        <w:tabs>
          <w:tab w:val="left" w:pos="1008"/>
        </w:tabs>
        <w:ind w:left="720" w:hanging="432"/>
      </w:pPr>
    </w:lvl>
    <w:lvl w:ilvl="3">
      <w:start w:val="1"/>
      <w:numFmt w:val="lowerRoman"/>
      <w:pStyle w:val="Heading4"/>
      <w:lvlText w:val="(%4)"/>
      <w:lvlJc w:val="right"/>
      <w:pPr>
        <w:tabs>
          <w:tab w:val="left" w:pos="864"/>
        </w:tabs>
        <w:ind w:left="864" w:hanging="144"/>
      </w:pPr>
    </w:lvl>
    <w:lvl w:ilvl="4">
      <w:start w:val="1"/>
      <w:numFmt w:val="decimal"/>
      <w:pStyle w:val="Heading5"/>
      <w:lvlText w:val="%5)"/>
      <w:lvlJc w:val="left"/>
      <w:pPr>
        <w:tabs>
          <w:tab w:val="left" w:pos="1008"/>
        </w:tabs>
        <w:ind w:left="1008" w:hanging="432"/>
      </w:pPr>
    </w:lvl>
    <w:lvl w:ilvl="5">
      <w:start w:val="1"/>
      <w:numFmt w:val="lowerLetter"/>
      <w:pStyle w:val="Heading6"/>
      <w:lvlText w:val="%6)"/>
      <w:lvlJc w:val="left"/>
      <w:pPr>
        <w:tabs>
          <w:tab w:val="left" w:pos="1152"/>
        </w:tabs>
        <w:ind w:left="1152" w:hanging="432"/>
      </w:pPr>
    </w:lvl>
    <w:lvl w:ilvl="6">
      <w:start w:val="1"/>
      <w:numFmt w:val="lowerRoman"/>
      <w:pStyle w:val="Heading7"/>
      <w:lvlText w:val="%7)"/>
      <w:lvlJc w:val="right"/>
      <w:pPr>
        <w:tabs>
          <w:tab w:val="left" w:pos="1296"/>
        </w:tabs>
        <w:ind w:left="1296" w:hanging="288"/>
      </w:pPr>
    </w:lvl>
    <w:lvl w:ilvl="7">
      <w:start w:val="1"/>
      <w:numFmt w:val="lowerLetter"/>
      <w:pStyle w:val="Heading8"/>
      <w:lvlText w:val="%8."/>
      <w:lvlJc w:val="left"/>
      <w:pPr>
        <w:tabs>
          <w:tab w:val="left" w:pos="1440"/>
        </w:tabs>
        <w:ind w:left="1440" w:hanging="432"/>
      </w:pPr>
    </w:lvl>
    <w:lvl w:ilvl="8">
      <w:start w:val="1"/>
      <w:numFmt w:val="lowerRoman"/>
      <w:pStyle w:val="Heading9"/>
      <w:lvlText w:val="%9."/>
      <w:lvlJc w:val="right"/>
      <w:pPr>
        <w:tabs>
          <w:tab w:val="left" w:pos="1584"/>
        </w:tabs>
        <w:ind w:left="1584" w:hanging="144"/>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52BEE"/>
    <w:rsid w:val="00020975"/>
    <w:rsid w:val="00021171"/>
    <w:rsid w:val="000364F3"/>
    <w:rsid w:val="00042264"/>
    <w:rsid w:val="00080054"/>
    <w:rsid w:val="00084EFF"/>
    <w:rsid w:val="000859DE"/>
    <w:rsid w:val="000A0761"/>
    <w:rsid w:val="000E577C"/>
    <w:rsid w:val="00153DE3"/>
    <w:rsid w:val="00180EB1"/>
    <w:rsid w:val="00181D72"/>
    <w:rsid w:val="001964BF"/>
    <w:rsid w:val="001B4B11"/>
    <w:rsid w:val="001D77D6"/>
    <w:rsid w:val="00200B0F"/>
    <w:rsid w:val="00204BA4"/>
    <w:rsid w:val="00260544"/>
    <w:rsid w:val="00265A96"/>
    <w:rsid w:val="002C0103"/>
    <w:rsid w:val="00315074"/>
    <w:rsid w:val="00352BEE"/>
    <w:rsid w:val="003902A5"/>
    <w:rsid w:val="003A76AC"/>
    <w:rsid w:val="003B3447"/>
    <w:rsid w:val="003B6916"/>
    <w:rsid w:val="003B7D91"/>
    <w:rsid w:val="0044254B"/>
    <w:rsid w:val="00453359"/>
    <w:rsid w:val="00467143"/>
    <w:rsid w:val="00467C82"/>
    <w:rsid w:val="004A1199"/>
    <w:rsid w:val="004B1F7F"/>
    <w:rsid w:val="004B5BD2"/>
    <w:rsid w:val="004E1064"/>
    <w:rsid w:val="005442C1"/>
    <w:rsid w:val="005824EA"/>
    <w:rsid w:val="00595FD7"/>
    <w:rsid w:val="005D1D63"/>
    <w:rsid w:val="00674887"/>
    <w:rsid w:val="006B5FE7"/>
    <w:rsid w:val="006E52C6"/>
    <w:rsid w:val="00712C90"/>
    <w:rsid w:val="00732433"/>
    <w:rsid w:val="00767692"/>
    <w:rsid w:val="00767AA3"/>
    <w:rsid w:val="007B73C3"/>
    <w:rsid w:val="007F66D4"/>
    <w:rsid w:val="007F759B"/>
    <w:rsid w:val="0085756A"/>
    <w:rsid w:val="008A7A65"/>
    <w:rsid w:val="008E2272"/>
    <w:rsid w:val="008E576E"/>
    <w:rsid w:val="008E7E05"/>
    <w:rsid w:val="00910670"/>
    <w:rsid w:val="00987371"/>
    <w:rsid w:val="009B2DBF"/>
    <w:rsid w:val="009B6369"/>
    <w:rsid w:val="009F08BE"/>
    <w:rsid w:val="009F5145"/>
    <w:rsid w:val="00A00E3F"/>
    <w:rsid w:val="00A13E67"/>
    <w:rsid w:val="00A24C2E"/>
    <w:rsid w:val="00A511C5"/>
    <w:rsid w:val="00A9487F"/>
    <w:rsid w:val="00AA136D"/>
    <w:rsid w:val="00AD3A84"/>
    <w:rsid w:val="00AF6DF5"/>
    <w:rsid w:val="00B23DA9"/>
    <w:rsid w:val="00B36D8B"/>
    <w:rsid w:val="00B54755"/>
    <w:rsid w:val="00B9367A"/>
    <w:rsid w:val="00B96FEC"/>
    <w:rsid w:val="00C15038"/>
    <w:rsid w:val="00C47B31"/>
    <w:rsid w:val="00C54F7E"/>
    <w:rsid w:val="00C63A81"/>
    <w:rsid w:val="00C849CB"/>
    <w:rsid w:val="00CE4DAF"/>
    <w:rsid w:val="00D03ADE"/>
    <w:rsid w:val="00DB5FA9"/>
    <w:rsid w:val="00DD13F1"/>
    <w:rsid w:val="00E34316"/>
    <w:rsid w:val="00E428ED"/>
    <w:rsid w:val="00E56990"/>
    <w:rsid w:val="00E6637A"/>
    <w:rsid w:val="00E91ED7"/>
    <w:rsid w:val="00EC62AC"/>
    <w:rsid w:val="00ED4331"/>
    <w:rsid w:val="00ED5FAD"/>
    <w:rsid w:val="00F26A25"/>
    <w:rsid w:val="00F270AF"/>
    <w:rsid w:val="00F9251C"/>
    <w:rsid w:val="00FA093A"/>
    <w:rsid w:val="00FE397B"/>
    <w:rsid w:val="00FF7BC4"/>
    <w:rsid w:val="03712117"/>
    <w:rsid w:val="0E0C0076"/>
    <w:rsid w:val="1BFA41FD"/>
    <w:rsid w:val="679867C2"/>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sdException w:name="footer"/>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qFormat="1"/>
    <w:lsdException w:name="Table Grid" w:uiPriority="3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sdException w:name="List Paragraph" w:uiPriority="34" w:qFormat="1"/>
    <w:lsdException w:name="Quote"/>
    <w:lsdException w:name="Intense Quot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453359"/>
    <w:pPr>
      <w:widowControl w:val="0"/>
      <w:jc w:val="both"/>
    </w:pPr>
    <w:rPr>
      <w:kern w:val="2"/>
      <w:sz w:val="21"/>
      <w:szCs w:val="22"/>
    </w:rPr>
  </w:style>
  <w:style w:type="paragraph" w:styleId="Heading1">
    <w:name w:val="heading 1"/>
    <w:basedOn w:val="Normal"/>
    <w:next w:val="Normal"/>
    <w:link w:val="1Char"/>
    <w:qFormat/>
    <w:rsid w:val="00453359"/>
    <w:pPr>
      <w:keepNext/>
      <w:keepLines/>
      <w:numPr>
        <w:numId w:val="1"/>
      </w:numPr>
      <w:spacing w:before="340" w:after="330" w:line="578" w:lineRule="auto"/>
      <w:ind w:left="1200" w:leftChars="1200"/>
      <w:outlineLvl w:val="0"/>
    </w:pPr>
    <w:rPr>
      <w:rFonts w:ascii="Times New Roman" w:eastAsia="宋体" w:hAnsi="Times New Roman" w:cs="Times New Roman"/>
      <w:b/>
      <w:bCs/>
      <w:kern w:val="44"/>
      <w:sz w:val="44"/>
      <w:szCs w:val="44"/>
    </w:rPr>
  </w:style>
  <w:style w:type="paragraph" w:styleId="Heading2">
    <w:name w:val="heading 2"/>
    <w:basedOn w:val="Normal"/>
    <w:next w:val="Normal"/>
    <w:link w:val="2Char"/>
    <w:qFormat/>
    <w:rsid w:val="00453359"/>
    <w:pPr>
      <w:keepNext/>
      <w:numPr>
        <w:ilvl w:val="1"/>
        <w:numId w:val="1"/>
      </w:numPr>
      <w:jc w:val="left"/>
      <w:outlineLvl w:val="1"/>
    </w:pPr>
    <w:rPr>
      <w:rFonts w:ascii="Times New Roman" w:eastAsia="宋体" w:hAnsi="Times New Roman" w:cs="Times New Roman"/>
      <w:sz w:val="30"/>
      <w:szCs w:val="24"/>
    </w:rPr>
  </w:style>
  <w:style w:type="paragraph" w:styleId="Heading3">
    <w:name w:val="heading 3"/>
    <w:basedOn w:val="Normal"/>
    <w:next w:val="Normal"/>
    <w:link w:val="3Char"/>
    <w:qFormat/>
    <w:rsid w:val="00453359"/>
    <w:pPr>
      <w:keepNext/>
      <w:keepLines/>
      <w:numPr>
        <w:ilvl w:val="2"/>
        <w:numId w:val="1"/>
      </w:numPr>
      <w:spacing w:before="260" w:after="260" w:line="416" w:lineRule="auto"/>
      <w:outlineLvl w:val="2"/>
    </w:pPr>
    <w:rPr>
      <w:rFonts w:ascii="Times New Roman" w:eastAsia="宋体" w:hAnsi="Times New Roman" w:cs="Times New Roman"/>
      <w:b/>
      <w:bCs/>
      <w:sz w:val="32"/>
      <w:szCs w:val="32"/>
    </w:rPr>
  </w:style>
  <w:style w:type="paragraph" w:styleId="Heading4">
    <w:name w:val="heading 4"/>
    <w:basedOn w:val="Normal"/>
    <w:next w:val="Normal"/>
    <w:link w:val="4Char"/>
    <w:qFormat/>
    <w:rsid w:val="00453359"/>
    <w:pPr>
      <w:keepNext/>
      <w:keepLines/>
      <w:numPr>
        <w:ilvl w:val="3"/>
        <w:numId w:val="1"/>
      </w:numPr>
      <w:spacing w:before="100" w:after="120" w:line="400" w:lineRule="exact"/>
      <w:outlineLvl w:val="3"/>
    </w:pPr>
    <w:rPr>
      <w:rFonts w:ascii="Arial" w:eastAsia="黑体" w:hAnsi="Arial" w:cs="Times New Roman"/>
      <w:b/>
      <w:bCs/>
      <w:sz w:val="28"/>
      <w:szCs w:val="28"/>
    </w:rPr>
  </w:style>
  <w:style w:type="paragraph" w:styleId="Heading5">
    <w:name w:val="heading 5"/>
    <w:basedOn w:val="Normal"/>
    <w:next w:val="Normal"/>
    <w:link w:val="5Char"/>
    <w:qFormat/>
    <w:rsid w:val="00453359"/>
    <w:pPr>
      <w:keepNext/>
      <w:keepLines/>
      <w:numPr>
        <w:ilvl w:val="4"/>
        <w:numId w:val="1"/>
      </w:numPr>
      <w:spacing w:before="280" w:after="290" w:line="376" w:lineRule="auto"/>
      <w:outlineLvl w:val="4"/>
    </w:pPr>
    <w:rPr>
      <w:rFonts w:ascii="Times New Roman" w:eastAsia="宋体" w:hAnsi="Times New Roman" w:cs="Times New Roman"/>
      <w:b/>
      <w:bCs/>
      <w:sz w:val="28"/>
      <w:szCs w:val="28"/>
    </w:rPr>
  </w:style>
  <w:style w:type="paragraph" w:styleId="Heading6">
    <w:name w:val="heading 6"/>
    <w:basedOn w:val="Normal"/>
    <w:next w:val="Normal"/>
    <w:link w:val="6Char"/>
    <w:qFormat/>
    <w:rsid w:val="00453359"/>
    <w:pPr>
      <w:keepNext/>
      <w:keepLines/>
      <w:numPr>
        <w:ilvl w:val="5"/>
        <w:numId w:val="1"/>
      </w:numPr>
      <w:spacing w:before="240" w:after="64" w:line="320" w:lineRule="auto"/>
      <w:outlineLvl w:val="5"/>
    </w:pPr>
    <w:rPr>
      <w:rFonts w:ascii="Arial" w:eastAsia="黑体" w:hAnsi="Arial" w:cs="Times New Roman"/>
      <w:b/>
      <w:bCs/>
      <w:sz w:val="24"/>
      <w:szCs w:val="24"/>
    </w:rPr>
  </w:style>
  <w:style w:type="paragraph" w:styleId="Heading7">
    <w:name w:val="heading 7"/>
    <w:basedOn w:val="Normal"/>
    <w:next w:val="Normal"/>
    <w:link w:val="7Char"/>
    <w:qFormat/>
    <w:rsid w:val="00453359"/>
    <w:pPr>
      <w:keepNext/>
      <w:keepLines/>
      <w:numPr>
        <w:ilvl w:val="6"/>
        <w:numId w:val="1"/>
      </w:numPr>
      <w:spacing w:before="240" w:after="64" w:line="320" w:lineRule="auto"/>
      <w:outlineLvl w:val="6"/>
    </w:pPr>
    <w:rPr>
      <w:rFonts w:ascii="Times New Roman" w:eastAsia="宋体" w:hAnsi="Times New Roman" w:cs="Times New Roman"/>
      <w:b/>
      <w:bCs/>
      <w:sz w:val="24"/>
      <w:szCs w:val="24"/>
    </w:rPr>
  </w:style>
  <w:style w:type="paragraph" w:styleId="Heading8">
    <w:name w:val="heading 8"/>
    <w:basedOn w:val="Normal"/>
    <w:next w:val="Normal"/>
    <w:link w:val="8Char"/>
    <w:qFormat/>
    <w:rsid w:val="00453359"/>
    <w:pPr>
      <w:keepNext/>
      <w:keepLines/>
      <w:numPr>
        <w:ilvl w:val="7"/>
        <w:numId w:val="1"/>
      </w:numPr>
      <w:spacing w:before="240" w:after="64" w:line="320" w:lineRule="auto"/>
      <w:outlineLvl w:val="7"/>
    </w:pPr>
    <w:rPr>
      <w:rFonts w:ascii="Arial" w:eastAsia="黑体" w:hAnsi="Arial" w:cs="Times New Roman"/>
      <w:sz w:val="24"/>
      <w:szCs w:val="24"/>
    </w:rPr>
  </w:style>
  <w:style w:type="paragraph" w:styleId="Heading9">
    <w:name w:val="heading 9"/>
    <w:basedOn w:val="Normal"/>
    <w:next w:val="Normal"/>
    <w:link w:val="9Char"/>
    <w:qFormat/>
    <w:rsid w:val="00453359"/>
    <w:pPr>
      <w:keepNext/>
      <w:keepLines/>
      <w:numPr>
        <w:ilvl w:val="8"/>
        <w:numId w:val="1"/>
      </w:numPr>
      <w:spacing w:before="240" w:after="64" w:line="320" w:lineRule="auto"/>
      <w:outlineLvl w:val="8"/>
    </w:pPr>
    <w:rPr>
      <w:rFonts w:ascii="Arial" w:eastAsia="黑体" w:hAnsi="Arial"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Char0"/>
    <w:uiPriority w:val="99"/>
    <w:unhideWhenUsed/>
    <w:rsid w:val="00453359"/>
    <w:pPr>
      <w:tabs>
        <w:tab w:val="center" w:pos="4153"/>
        <w:tab w:val="right" w:pos="8306"/>
      </w:tabs>
      <w:snapToGrid w:val="0"/>
      <w:jc w:val="left"/>
    </w:pPr>
    <w:rPr>
      <w:sz w:val="18"/>
      <w:szCs w:val="18"/>
    </w:rPr>
  </w:style>
  <w:style w:type="paragraph" w:styleId="Header">
    <w:name w:val="header"/>
    <w:basedOn w:val="Normal"/>
    <w:link w:val="Char"/>
    <w:uiPriority w:val="99"/>
    <w:unhideWhenUsed/>
    <w:rsid w:val="004533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sid w:val="00453359"/>
    <w:rPr>
      <w:sz w:val="18"/>
      <w:szCs w:val="18"/>
    </w:rPr>
  </w:style>
  <w:style w:type="character" w:customStyle="1" w:styleId="Char0">
    <w:name w:val="页脚 Char"/>
    <w:basedOn w:val="DefaultParagraphFont"/>
    <w:link w:val="Footer"/>
    <w:uiPriority w:val="99"/>
    <w:rsid w:val="00453359"/>
    <w:rPr>
      <w:sz w:val="18"/>
      <w:szCs w:val="18"/>
    </w:rPr>
  </w:style>
  <w:style w:type="character" w:customStyle="1" w:styleId="1Char">
    <w:name w:val="标题 1 Char"/>
    <w:basedOn w:val="DefaultParagraphFont"/>
    <w:link w:val="Heading1"/>
    <w:qFormat/>
    <w:rsid w:val="00453359"/>
    <w:rPr>
      <w:rFonts w:ascii="Times New Roman" w:eastAsia="宋体" w:hAnsi="Times New Roman" w:cs="Times New Roman"/>
      <w:b/>
      <w:bCs/>
      <w:kern w:val="44"/>
      <w:sz w:val="44"/>
      <w:szCs w:val="44"/>
    </w:rPr>
  </w:style>
  <w:style w:type="character" w:customStyle="1" w:styleId="2Char">
    <w:name w:val="标题 2 Char"/>
    <w:basedOn w:val="DefaultParagraphFont"/>
    <w:link w:val="Heading2"/>
    <w:rsid w:val="00453359"/>
    <w:rPr>
      <w:rFonts w:ascii="Times New Roman" w:eastAsia="宋体" w:hAnsi="Times New Roman" w:cs="Times New Roman"/>
      <w:sz w:val="30"/>
      <w:szCs w:val="24"/>
    </w:rPr>
  </w:style>
  <w:style w:type="character" w:customStyle="1" w:styleId="3Char">
    <w:name w:val="标题 3 Char"/>
    <w:basedOn w:val="DefaultParagraphFont"/>
    <w:link w:val="Heading3"/>
    <w:rsid w:val="00453359"/>
    <w:rPr>
      <w:rFonts w:ascii="Times New Roman" w:eastAsia="宋体" w:hAnsi="Times New Roman" w:cs="Times New Roman"/>
      <w:b/>
      <w:bCs/>
      <w:sz w:val="32"/>
      <w:szCs w:val="32"/>
    </w:rPr>
  </w:style>
  <w:style w:type="character" w:customStyle="1" w:styleId="4Char">
    <w:name w:val="标题 4 Char"/>
    <w:basedOn w:val="DefaultParagraphFont"/>
    <w:link w:val="Heading4"/>
    <w:qFormat/>
    <w:rsid w:val="00453359"/>
    <w:rPr>
      <w:rFonts w:ascii="Arial" w:eastAsia="黑体" w:hAnsi="Arial" w:cs="Times New Roman"/>
      <w:b/>
      <w:bCs/>
      <w:sz w:val="28"/>
      <w:szCs w:val="28"/>
    </w:rPr>
  </w:style>
  <w:style w:type="character" w:customStyle="1" w:styleId="5Char">
    <w:name w:val="标题 5 Char"/>
    <w:basedOn w:val="DefaultParagraphFont"/>
    <w:link w:val="Heading5"/>
    <w:rsid w:val="00453359"/>
    <w:rPr>
      <w:rFonts w:ascii="Times New Roman" w:eastAsia="宋体" w:hAnsi="Times New Roman" w:cs="Times New Roman"/>
      <w:b/>
      <w:bCs/>
      <w:sz w:val="28"/>
      <w:szCs w:val="28"/>
    </w:rPr>
  </w:style>
  <w:style w:type="character" w:customStyle="1" w:styleId="6Char">
    <w:name w:val="标题 6 Char"/>
    <w:basedOn w:val="DefaultParagraphFont"/>
    <w:link w:val="Heading6"/>
    <w:qFormat/>
    <w:rsid w:val="00453359"/>
    <w:rPr>
      <w:rFonts w:ascii="Arial" w:eastAsia="黑体" w:hAnsi="Arial" w:cs="Times New Roman"/>
      <w:b/>
      <w:bCs/>
      <w:sz w:val="24"/>
      <w:szCs w:val="24"/>
    </w:rPr>
  </w:style>
  <w:style w:type="character" w:customStyle="1" w:styleId="7Char">
    <w:name w:val="标题 7 Char"/>
    <w:basedOn w:val="DefaultParagraphFont"/>
    <w:link w:val="Heading7"/>
    <w:qFormat/>
    <w:rsid w:val="00453359"/>
    <w:rPr>
      <w:rFonts w:ascii="Times New Roman" w:eastAsia="宋体" w:hAnsi="Times New Roman" w:cs="Times New Roman"/>
      <w:b/>
      <w:bCs/>
      <w:sz w:val="24"/>
      <w:szCs w:val="24"/>
    </w:rPr>
  </w:style>
  <w:style w:type="character" w:customStyle="1" w:styleId="8Char">
    <w:name w:val="标题 8 Char"/>
    <w:basedOn w:val="DefaultParagraphFont"/>
    <w:link w:val="Heading8"/>
    <w:rsid w:val="00453359"/>
    <w:rPr>
      <w:rFonts w:ascii="Arial" w:eastAsia="黑体" w:hAnsi="Arial" w:cs="Times New Roman"/>
      <w:sz w:val="24"/>
      <w:szCs w:val="24"/>
    </w:rPr>
  </w:style>
  <w:style w:type="character" w:customStyle="1" w:styleId="9Char">
    <w:name w:val="标题 9 Char"/>
    <w:basedOn w:val="DefaultParagraphFont"/>
    <w:link w:val="Heading9"/>
    <w:rsid w:val="00453359"/>
    <w:rPr>
      <w:rFonts w:ascii="Arial" w:eastAsia="黑体" w:hAnsi="Arial" w:cs="Times New Roman"/>
      <w:szCs w:val="21"/>
    </w:rPr>
  </w:style>
  <w:style w:type="paragraph" w:styleId="ListParagraph">
    <w:name w:val="List Paragraph"/>
    <w:basedOn w:val="Normal"/>
    <w:uiPriority w:val="34"/>
    <w:qFormat/>
    <w:rsid w:val="00453359"/>
    <w:pPr>
      <w:ind w:firstLine="420" w:firstLineChars="200"/>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134</Words>
  <Characters>770</Characters>
  <Application>Microsoft Office Word</Application>
  <DocSecurity>0</DocSecurity>
  <Lines>6</Lines>
  <Paragraphs>1</Paragraphs>
  <ScaleCrop>false</ScaleCrop>
  <Company>Win</Company>
  <LinksUpToDate>false</LinksUpToDate>
  <CharactersWithSpaces>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Windows User</cp:lastModifiedBy>
  <cp:revision>76</cp:revision>
  <dcterms:created xsi:type="dcterms:W3CDTF">2016-05-10T01:45:00Z</dcterms:created>
  <dcterms:modified xsi:type="dcterms:W3CDTF">2025-12-15T02:33:00Z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2052-11.1.0.10228</vt:lpwstr>
  </property>
</Properties>
</file>