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746C" w14:textId="44E14568" w:rsidR="00C849BA" w:rsidRPr="00F157F5" w:rsidRDefault="0001551B">
      <w:pPr>
        <w:rPr>
          <w:b/>
          <w:u w:val="single"/>
        </w:rPr>
      </w:pPr>
      <w:r>
        <w:rPr>
          <w:b/>
          <w:u w:val="single"/>
        </w:rPr>
        <w:t>WID 2.8 Compatible JOLTS table structure - 2022</w:t>
      </w:r>
    </w:p>
    <w:tbl>
      <w:tblPr>
        <w:tblStyle w:val="TableGrid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2340"/>
        <w:gridCol w:w="1657"/>
        <w:gridCol w:w="1340"/>
        <w:gridCol w:w="4013"/>
      </w:tblGrid>
      <w:tr w:rsidR="0001551B" w14:paraId="55A2DD00" w14:textId="77777777" w:rsidTr="00FC17BD">
        <w:tc>
          <w:tcPr>
            <w:tcW w:w="9350" w:type="dxa"/>
            <w:gridSpan w:val="4"/>
          </w:tcPr>
          <w:p w14:paraId="0D5D76CA" w14:textId="5013923B" w:rsidR="0001551B" w:rsidRPr="0001551B" w:rsidRDefault="0001551B" w:rsidP="00C849BA">
            <w:pPr>
              <w:rPr>
                <w:b/>
                <w:bCs/>
              </w:rPr>
            </w:pPr>
            <w:r w:rsidRPr="0001551B">
              <w:rPr>
                <w:b/>
                <w:bCs/>
              </w:rPr>
              <w:t>jolts</w:t>
            </w:r>
          </w:p>
        </w:tc>
      </w:tr>
      <w:tr w:rsidR="0001551B" w14:paraId="3AB33A39" w14:textId="77777777" w:rsidTr="008241B3">
        <w:tc>
          <w:tcPr>
            <w:tcW w:w="9350" w:type="dxa"/>
            <w:gridSpan w:val="4"/>
          </w:tcPr>
          <w:p w14:paraId="14953231" w14:textId="77777777" w:rsidR="0001551B" w:rsidRDefault="0001551B" w:rsidP="00C849BA">
            <w:r w:rsidRPr="009178CB">
              <w:t>The Job Openings and Labor Turnover Survey program provides</w:t>
            </w:r>
            <w:r w:rsidRPr="00C849BA">
              <w:t xml:space="preserve"> </w:t>
            </w:r>
            <w:r w:rsidRPr="009178CB">
              <w:t>national estimates of rates and levels for job openings, hires, and total separations.  Total separations are further broken out into quits, layoffs and</w:t>
            </w:r>
            <w:r w:rsidRPr="00C849BA">
              <w:t xml:space="preserve"> </w:t>
            </w:r>
            <w:r w:rsidRPr="009178CB">
              <w:t>discharges, and other separations.</w:t>
            </w:r>
            <w:r w:rsidRPr="00C849BA">
              <w:t xml:space="preserve"> </w:t>
            </w:r>
          </w:p>
        </w:tc>
      </w:tr>
      <w:tr w:rsidR="00C849BA" w14:paraId="3803AB90" w14:textId="77777777" w:rsidTr="0001551B">
        <w:tc>
          <w:tcPr>
            <w:tcW w:w="2340" w:type="dxa"/>
            <w:shd w:val="clear" w:color="auto" w:fill="BFBFBF" w:themeFill="background1" w:themeFillShade="BF"/>
          </w:tcPr>
          <w:p w14:paraId="08CD6DEF" w14:textId="77777777" w:rsidR="00C849BA" w:rsidRPr="00C849BA" w:rsidRDefault="00C849BA" w:rsidP="00C849BA">
            <w:pPr>
              <w:rPr>
                <w:b/>
              </w:rPr>
            </w:pPr>
            <w:r w:rsidRPr="00C849BA">
              <w:rPr>
                <w:b/>
              </w:rPr>
              <w:t>Column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4BFF1967" w14:textId="77777777" w:rsidR="00C849BA" w:rsidRPr="00C849BA" w:rsidRDefault="00C849BA" w:rsidP="00C849BA">
            <w:pPr>
              <w:rPr>
                <w:b/>
              </w:rPr>
            </w:pPr>
            <w:r w:rsidRPr="00C849BA">
              <w:rPr>
                <w:b/>
              </w:rPr>
              <w:t>Type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14:paraId="147E6B5F" w14:textId="77777777" w:rsidR="00C849BA" w:rsidRPr="00C849BA" w:rsidRDefault="00C849BA" w:rsidP="00C849BA">
            <w:pPr>
              <w:rPr>
                <w:b/>
              </w:rPr>
            </w:pPr>
            <w:r w:rsidRPr="00C849BA">
              <w:rPr>
                <w:b/>
              </w:rPr>
              <w:t>Constraint</w:t>
            </w:r>
          </w:p>
        </w:tc>
        <w:tc>
          <w:tcPr>
            <w:tcW w:w="4013" w:type="dxa"/>
            <w:shd w:val="clear" w:color="auto" w:fill="BFBFBF" w:themeFill="background1" w:themeFillShade="BF"/>
          </w:tcPr>
          <w:p w14:paraId="50E9E504" w14:textId="77777777" w:rsidR="00C849BA" w:rsidRPr="00C849BA" w:rsidRDefault="00C849BA" w:rsidP="00C849BA">
            <w:pPr>
              <w:rPr>
                <w:b/>
              </w:rPr>
            </w:pPr>
            <w:r w:rsidRPr="00C849BA">
              <w:rPr>
                <w:b/>
              </w:rPr>
              <w:t>Description</w:t>
            </w:r>
          </w:p>
        </w:tc>
      </w:tr>
      <w:tr w:rsidR="00C849BA" w14:paraId="66A8504B" w14:textId="77777777" w:rsidTr="0001551B">
        <w:tc>
          <w:tcPr>
            <w:tcW w:w="2340" w:type="dxa"/>
          </w:tcPr>
          <w:p w14:paraId="7FD9765F" w14:textId="77777777" w:rsidR="00C849BA" w:rsidRDefault="00FF681B" w:rsidP="00C849BA">
            <w:r>
              <w:t>stfips</w:t>
            </w:r>
          </w:p>
        </w:tc>
        <w:tc>
          <w:tcPr>
            <w:tcW w:w="1657" w:type="dxa"/>
          </w:tcPr>
          <w:p w14:paraId="549F0A27" w14:textId="77777777" w:rsidR="00C849BA" w:rsidRDefault="00FF681B" w:rsidP="00C849BA">
            <w:r>
              <w:t>char</w:t>
            </w:r>
            <w:r w:rsidR="00C849BA">
              <w:t>(2)</w:t>
            </w:r>
          </w:p>
        </w:tc>
        <w:tc>
          <w:tcPr>
            <w:tcW w:w="1340" w:type="dxa"/>
          </w:tcPr>
          <w:p w14:paraId="74556CE1" w14:textId="77777777" w:rsidR="00C849BA" w:rsidRDefault="00FF681B" w:rsidP="00C849BA">
            <w:r>
              <w:t>Primary Key</w:t>
            </w:r>
            <w:r w:rsidR="00C849BA">
              <w:t xml:space="preserve"> 1,3</w:t>
            </w:r>
          </w:p>
        </w:tc>
        <w:tc>
          <w:tcPr>
            <w:tcW w:w="4013" w:type="dxa"/>
          </w:tcPr>
          <w:p w14:paraId="0C3EF777" w14:textId="77777777" w:rsidR="00C849BA" w:rsidRDefault="00C849BA" w:rsidP="00C849BA">
            <w:r>
              <w:t>State FIPS code</w:t>
            </w:r>
          </w:p>
        </w:tc>
      </w:tr>
      <w:tr w:rsidR="00C849BA" w14:paraId="75FD77DA" w14:textId="77777777" w:rsidTr="0001551B">
        <w:tc>
          <w:tcPr>
            <w:tcW w:w="2340" w:type="dxa"/>
          </w:tcPr>
          <w:p w14:paraId="621D32B2" w14:textId="77777777" w:rsidR="00C849BA" w:rsidRDefault="00FF681B" w:rsidP="007F28F3">
            <w:r>
              <w:t>areatype</w:t>
            </w:r>
          </w:p>
        </w:tc>
        <w:tc>
          <w:tcPr>
            <w:tcW w:w="1657" w:type="dxa"/>
          </w:tcPr>
          <w:p w14:paraId="152ED49F" w14:textId="77777777" w:rsidR="00C849BA" w:rsidRDefault="00FF681B" w:rsidP="00C849BA">
            <w:r>
              <w:t>char</w:t>
            </w:r>
            <w:r w:rsidR="00C849BA">
              <w:t>(2)</w:t>
            </w:r>
          </w:p>
        </w:tc>
        <w:tc>
          <w:tcPr>
            <w:tcW w:w="1340" w:type="dxa"/>
          </w:tcPr>
          <w:p w14:paraId="409F9833" w14:textId="77777777" w:rsidR="00C849BA" w:rsidRDefault="00FF681B" w:rsidP="00C849BA">
            <w:r>
              <w:t>Primary Key</w:t>
            </w:r>
            <w:r w:rsidR="00C849BA">
              <w:t xml:space="preserve"> 1</w:t>
            </w:r>
          </w:p>
        </w:tc>
        <w:tc>
          <w:tcPr>
            <w:tcW w:w="4013" w:type="dxa"/>
          </w:tcPr>
          <w:p w14:paraId="459EBE75" w14:textId="77777777" w:rsidR="00C849BA" w:rsidRDefault="00C849BA" w:rsidP="00C849BA">
            <w:r>
              <w:t>Code describing type of geographic area: e.g county service delivery area, MSA</w:t>
            </w:r>
            <w:r w:rsidR="007F28F3">
              <w:br/>
              <w:t>BLS Region = 06</w:t>
            </w:r>
          </w:p>
        </w:tc>
      </w:tr>
      <w:tr w:rsidR="00C849BA" w14:paraId="03629850" w14:textId="77777777" w:rsidTr="0001551B">
        <w:tc>
          <w:tcPr>
            <w:tcW w:w="2340" w:type="dxa"/>
          </w:tcPr>
          <w:p w14:paraId="17EBCEDF" w14:textId="77777777" w:rsidR="00C849BA" w:rsidRDefault="00FF681B" w:rsidP="00C849BA">
            <w:r>
              <w:t>area</w:t>
            </w:r>
          </w:p>
        </w:tc>
        <w:tc>
          <w:tcPr>
            <w:tcW w:w="1657" w:type="dxa"/>
          </w:tcPr>
          <w:p w14:paraId="4C6C1169" w14:textId="77777777" w:rsidR="00C849BA" w:rsidRDefault="00FF681B" w:rsidP="00C849BA">
            <w:r>
              <w:t>char</w:t>
            </w:r>
            <w:r w:rsidR="00C849BA">
              <w:t>(6)</w:t>
            </w:r>
          </w:p>
        </w:tc>
        <w:tc>
          <w:tcPr>
            <w:tcW w:w="1340" w:type="dxa"/>
          </w:tcPr>
          <w:p w14:paraId="68E4BF29" w14:textId="77777777" w:rsidR="00C849BA" w:rsidRDefault="00FF681B" w:rsidP="00C849BA">
            <w:r>
              <w:t>Primary Key</w:t>
            </w:r>
            <w:r w:rsidR="00C849BA">
              <w:t xml:space="preserve"> 1</w:t>
            </w:r>
          </w:p>
        </w:tc>
        <w:tc>
          <w:tcPr>
            <w:tcW w:w="4013" w:type="dxa"/>
          </w:tcPr>
          <w:p w14:paraId="2A8675D1" w14:textId="77777777" w:rsidR="00C849BA" w:rsidRDefault="00C849BA" w:rsidP="00C849BA">
            <w:r>
              <w:t>Six-digit code assigned to represent a geographic area. Front fill with zeroes</w:t>
            </w:r>
          </w:p>
        </w:tc>
      </w:tr>
      <w:tr w:rsidR="00C849BA" w14:paraId="72C35CDE" w14:textId="77777777" w:rsidTr="0001551B">
        <w:tc>
          <w:tcPr>
            <w:tcW w:w="2340" w:type="dxa"/>
          </w:tcPr>
          <w:p w14:paraId="7879F02E" w14:textId="77777777" w:rsidR="00C849BA" w:rsidRDefault="00FF681B" w:rsidP="00C849BA">
            <w:r>
              <w:t>periodyear</w:t>
            </w:r>
          </w:p>
        </w:tc>
        <w:tc>
          <w:tcPr>
            <w:tcW w:w="1657" w:type="dxa"/>
          </w:tcPr>
          <w:p w14:paraId="78FFFA9C" w14:textId="77777777" w:rsidR="00C849BA" w:rsidRDefault="00FF681B" w:rsidP="00C849BA">
            <w:r>
              <w:t>char</w:t>
            </w:r>
            <w:r w:rsidR="00C849BA">
              <w:t>(4)</w:t>
            </w:r>
          </w:p>
        </w:tc>
        <w:tc>
          <w:tcPr>
            <w:tcW w:w="1340" w:type="dxa"/>
          </w:tcPr>
          <w:p w14:paraId="0F3E3414" w14:textId="77777777" w:rsidR="00C849BA" w:rsidRDefault="00FF681B" w:rsidP="00C849BA">
            <w:r>
              <w:t>Primary Key</w:t>
            </w:r>
            <w:r w:rsidR="00C849BA">
              <w:t xml:space="preserve"> 2</w:t>
            </w:r>
          </w:p>
        </w:tc>
        <w:tc>
          <w:tcPr>
            <w:tcW w:w="4013" w:type="dxa"/>
          </w:tcPr>
          <w:p w14:paraId="60608B0D" w14:textId="77777777" w:rsidR="00C849BA" w:rsidRDefault="00C849BA" w:rsidP="00C849BA">
            <w:r>
              <w:t>Character representation of calendar year</w:t>
            </w:r>
          </w:p>
        </w:tc>
      </w:tr>
      <w:tr w:rsidR="00C849BA" w14:paraId="4B1958E8" w14:textId="77777777" w:rsidTr="0001551B">
        <w:tc>
          <w:tcPr>
            <w:tcW w:w="2340" w:type="dxa"/>
          </w:tcPr>
          <w:p w14:paraId="4BCEA71C" w14:textId="77777777" w:rsidR="00C849BA" w:rsidRDefault="00FF681B" w:rsidP="00C849BA">
            <w:r>
              <w:t>periodtype</w:t>
            </w:r>
          </w:p>
        </w:tc>
        <w:tc>
          <w:tcPr>
            <w:tcW w:w="1657" w:type="dxa"/>
          </w:tcPr>
          <w:p w14:paraId="51EDBDC1" w14:textId="77777777" w:rsidR="00C849BA" w:rsidRDefault="00FF681B" w:rsidP="00C849BA">
            <w:r>
              <w:t>char</w:t>
            </w:r>
            <w:r w:rsidR="00C849BA">
              <w:t>(2)</w:t>
            </w:r>
          </w:p>
        </w:tc>
        <w:tc>
          <w:tcPr>
            <w:tcW w:w="1340" w:type="dxa"/>
          </w:tcPr>
          <w:p w14:paraId="28957420" w14:textId="77777777" w:rsidR="00C849BA" w:rsidRDefault="00FF681B" w:rsidP="00C849BA">
            <w:r>
              <w:t>Primary Key</w:t>
            </w:r>
            <w:r w:rsidR="00C849BA">
              <w:t xml:space="preserve"> 2</w:t>
            </w:r>
          </w:p>
        </w:tc>
        <w:tc>
          <w:tcPr>
            <w:tcW w:w="4013" w:type="dxa"/>
          </w:tcPr>
          <w:p w14:paraId="0894AF65" w14:textId="77777777" w:rsidR="00C849BA" w:rsidRDefault="00C849BA" w:rsidP="00C849BA">
            <w:r>
              <w:t>Code describing type of period (e.g. annual, quarterly, monthly)</w:t>
            </w:r>
          </w:p>
        </w:tc>
      </w:tr>
      <w:tr w:rsidR="00FF681B" w14:paraId="39815BEE" w14:textId="77777777" w:rsidTr="0001551B">
        <w:tc>
          <w:tcPr>
            <w:tcW w:w="2340" w:type="dxa"/>
          </w:tcPr>
          <w:p w14:paraId="2674A45C" w14:textId="77777777" w:rsidR="00FF681B" w:rsidRDefault="00FF681B" w:rsidP="00C849BA">
            <w:r>
              <w:t>period</w:t>
            </w:r>
          </w:p>
        </w:tc>
        <w:tc>
          <w:tcPr>
            <w:tcW w:w="1657" w:type="dxa"/>
          </w:tcPr>
          <w:p w14:paraId="63D21C5C" w14:textId="77777777" w:rsidR="00FF681B" w:rsidRDefault="00FF681B" w:rsidP="00C849BA">
            <w:r>
              <w:t>char(2)</w:t>
            </w:r>
          </w:p>
        </w:tc>
        <w:tc>
          <w:tcPr>
            <w:tcW w:w="1340" w:type="dxa"/>
          </w:tcPr>
          <w:p w14:paraId="0E96E571" w14:textId="77777777" w:rsidR="00FF681B" w:rsidRDefault="00FF681B" w:rsidP="00C849BA">
            <w:r>
              <w:t>Primary Key</w:t>
            </w:r>
          </w:p>
          <w:p w14:paraId="4DECE8BB" w14:textId="77777777" w:rsidR="00FF681B" w:rsidRDefault="00FF681B" w:rsidP="00C849BA">
            <w:r>
              <w:t>2</w:t>
            </w:r>
          </w:p>
        </w:tc>
        <w:tc>
          <w:tcPr>
            <w:tcW w:w="4013" w:type="dxa"/>
          </w:tcPr>
          <w:p w14:paraId="14A92F1E" w14:textId="77777777" w:rsidR="00FF681B" w:rsidRDefault="00FF681B" w:rsidP="00C849BA">
            <w:r w:rsidRPr="00FF681B">
              <w:t>Period Code. Will be set to '00' where periodtype is annual.</w:t>
            </w:r>
          </w:p>
        </w:tc>
      </w:tr>
      <w:tr w:rsidR="00C849BA" w14:paraId="307859B9" w14:textId="77777777" w:rsidTr="0001551B">
        <w:tc>
          <w:tcPr>
            <w:tcW w:w="2340" w:type="dxa"/>
          </w:tcPr>
          <w:p w14:paraId="32B07E9F" w14:textId="77777777" w:rsidR="00C849BA" w:rsidRDefault="00FF681B" w:rsidP="00C849BA">
            <w:r>
              <w:t>indcodetype</w:t>
            </w:r>
          </w:p>
        </w:tc>
        <w:tc>
          <w:tcPr>
            <w:tcW w:w="1657" w:type="dxa"/>
          </w:tcPr>
          <w:p w14:paraId="37F66657" w14:textId="77777777" w:rsidR="00C849BA" w:rsidRDefault="00FF681B" w:rsidP="00C849BA">
            <w:r>
              <w:t>char</w:t>
            </w:r>
            <w:r w:rsidR="00C849BA">
              <w:t>(2)</w:t>
            </w:r>
          </w:p>
        </w:tc>
        <w:tc>
          <w:tcPr>
            <w:tcW w:w="1340" w:type="dxa"/>
          </w:tcPr>
          <w:p w14:paraId="02C0E383" w14:textId="77777777" w:rsidR="00C849BA" w:rsidRDefault="00FF681B" w:rsidP="00C849BA">
            <w:r>
              <w:t>Primary Key</w:t>
            </w:r>
            <w:r w:rsidR="00C849BA">
              <w:t xml:space="preserve"> 3</w:t>
            </w:r>
          </w:p>
        </w:tc>
        <w:tc>
          <w:tcPr>
            <w:tcW w:w="4013" w:type="dxa"/>
          </w:tcPr>
          <w:p w14:paraId="3CE4CC24" w14:textId="77777777" w:rsidR="00C849BA" w:rsidRDefault="00C849BA" w:rsidP="00C849BA">
            <w:r>
              <w:t>Code for the type industry:</w:t>
            </w:r>
            <w:r>
              <w:br/>
              <w:t>05 = SIC</w:t>
            </w:r>
            <w:r>
              <w:br/>
              <w:t>10 = NAICS</w:t>
            </w:r>
          </w:p>
        </w:tc>
      </w:tr>
      <w:tr w:rsidR="00C849BA" w14:paraId="02C4CC59" w14:textId="77777777" w:rsidTr="0001551B">
        <w:tc>
          <w:tcPr>
            <w:tcW w:w="2340" w:type="dxa"/>
          </w:tcPr>
          <w:p w14:paraId="1416D41E" w14:textId="77777777" w:rsidR="00C849BA" w:rsidRDefault="00FF681B" w:rsidP="00C849BA">
            <w:r>
              <w:t>indcode</w:t>
            </w:r>
          </w:p>
        </w:tc>
        <w:tc>
          <w:tcPr>
            <w:tcW w:w="1657" w:type="dxa"/>
          </w:tcPr>
          <w:p w14:paraId="4AD4486E" w14:textId="77777777" w:rsidR="00C849BA" w:rsidRDefault="00FF681B" w:rsidP="00C849BA">
            <w:r>
              <w:t>char</w:t>
            </w:r>
            <w:r w:rsidR="00C849BA">
              <w:t>(6)</w:t>
            </w:r>
          </w:p>
        </w:tc>
        <w:tc>
          <w:tcPr>
            <w:tcW w:w="1340" w:type="dxa"/>
          </w:tcPr>
          <w:p w14:paraId="4CEB9361" w14:textId="77777777" w:rsidR="00C849BA" w:rsidRDefault="00FF681B" w:rsidP="00C849BA">
            <w:r>
              <w:t>Primary Key</w:t>
            </w:r>
            <w:r w:rsidR="00C849BA">
              <w:t xml:space="preserve"> 3</w:t>
            </w:r>
          </w:p>
        </w:tc>
        <w:tc>
          <w:tcPr>
            <w:tcW w:w="4013" w:type="dxa"/>
          </w:tcPr>
          <w:p w14:paraId="0481CDE7" w14:textId="77777777" w:rsidR="00C849BA" w:rsidRDefault="00C849BA" w:rsidP="00C849BA">
            <w:r>
              <w:t>Industry code</w:t>
            </w:r>
          </w:p>
        </w:tc>
      </w:tr>
      <w:tr w:rsidR="00C849BA" w14:paraId="40AA2861" w14:textId="77777777" w:rsidTr="0001551B">
        <w:tc>
          <w:tcPr>
            <w:tcW w:w="2340" w:type="dxa"/>
          </w:tcPr>
          <w:p w14:paraId="52E01300" w14:textId="77777777" w:rsidR="00C849BA" w:rsidRDefault="00FF681B" w:rsidP="00C849BA">
            <w:r>
              <w:t>adjusted</w:t>
            </w:r>
          </w:p>
        </w:tc>
        <w:tc>
          <w:tcPr>
            <w:tcW w:w="1657" w:type="dxa"/>
          </w:tcPr>
          <w:p w14:paraId="7945C855" w14:textId="77777777" w:rsidR="00C849BA" w:rsidRDefault="00FF681B" w:rsidP="00C849BA">
            <w:r>
              <w:t>char</w:t>
            </w:r>
            <w:r w:rsidR="00C849BA">
              <w:t>(1)</w:t>
            </w:r>
          </w:p>
        </w:tc>
        <w:tc>
          <w:tcPr>
            <w:tcW w:w="1340" w:type="dxa"/>
          </w:tcPr>
          <w:p w14:paraId="052353DA" w14:textId="77777777" w:rsidR="00C849BA" w:rsidRDefault="00C849BA" w:rsidP="00C849BA"/>
        </w:tc>
        <w:tc>
          <w:tcPr>
            <w:tcW w:w="4013" w:type="dxa"/>
          </w:tcPr>
          <w:p w14:paraId="3754861F" w14:textId="77777777" w:rsidR="00C849BA" w:rsidRDefault="00C849BA" w:rsidP="00C849BA">
            <w:r>
              <w:t>Indicates whether data is seasonally adjusted</w:t>
            </w:r>
            <w:r>
              <w:br/>
              <w:t>0 = Not Adjusted</w:t>
            </w:r>
            <w:r>
              <w:br/>
              <w:t>1 = Adjusted</w:t>
            </w:r>
          </w:p>
        </w:tc>
      </w:tr>
      <w:tr w:rsidR="00C849BA" w14:paraId="248856F9" w14:textId="77777777" w:rsidTr="0001551B">
        <w:tc>
          <w:tcPr>
            <w:tcW w:w="2340" w:type="dxa"/>
          </w:tcPr>
          <w:p w14:paraId="5ADBF843" w14:textId="77777777" w:rsidR="00C849BA" w:rsidRDefault="00B74FFD" w:rsidP="00C849BA">
            <w:r w:rsidRPr="0001551B">
              <w:t>joltstypecode</w:t>
            </w:r>
          </w:p>
        </w:tc>
        <w:tc>
          <w:tcPr>
            <w:tcW w:w="1657" w:type="dxa"/>
          </w:tcPr>
          <w:p w14:paraId="43D0192D" w14:textId="77777777" w:rsidR="00C849BA" w:rsidRDefault="00FF681B" w:rsidP="00C849BA">
            <w:r>
              <w:t>char</w:t>
            </w:r>
            <w:r w:rsidR="00C849BA">
              <w:t>(2)</w:t>
            </w:r>
          </w:p>
        </w:tc>
        <w:tc>
          <w:tcPr>
            <w:tcW w:w="1340" w:type="dxa"/>
          </w:tcPr>
          <w:p w14:paraId="2162B056" w14:textId="77777777" w:rsidR="00C849BA" w:rsidRDefault="00FF681B" w:rsidP="00C849BA">
            <w:r>
              <w:t>Primary Key</w:t>
            </w:r>
            <w:r w:rsidR="00C849BA">
              <w:t xml:space="preserve"> 4</w:t>
            </w:r>
          </w:p>
        </w:tc>
        <w:tc>
          <w:tcPr>
            <w:tcW w:w="4013" w:type="dxa"/>
          </w:tcPr>
          <w:p w14:paraId="621396AD" w14:textId="77777777" w:rsidR="00C849BA" w:rsidRDefault="00C849BA" w:rsidP="00C849BA">
            <w:r>
              <w:t>Indicator of the type of data:</w:t>
            </w:r>
          </w:p>
        </w:tc>
      </w:tr>
      <w:tr w:rsidR="00C849BA" w14:paraId="3427E31F" w14:textId="77777777" w:rsidTr="0001551B">
        <w:tc>
          <w:tcPr>
            <w:tcW w:w="2340" w:type="dxa"/>
          </w:tcPr>
          <w:p w14:paraId="1D7D460E" w14:textId="77777777" w:rsidR="00C849BA" w:rsidRDefault="00FF681B" w:rsidP="00C849BA">
            <w:r>
              <w:t>prelim</w:t>
            </w:r>
          </w:p>
        </w:tc>
        <w:tc>
          <w:tcPr>
            <w:tcW w:w="1657" w:type="dxa"/>
          </w:tcPr>
          <w:p w14:paraId="69F55862" w14:textId="77777777" w:rsidR="00C849BA" w:rsidRDefault="00FF681B" w:rsidP="00C849BA">
            <w:r>
              <w:t>char</w:t>
            </w:r>
            <w:r w:rsidR="00C849BA">
              <w:t>(1)</w:t>
            </w:r>
          </w:p>
        </w:tc>
        <w:tc>
          <w:tcPr>
            <w:tcW w:w="1340" w:type="dxa"/>
          </w:tcPr>
          <w:p w14:paraId="044C8484" w14:textId="77777777" w:rsidR="00C849BA" w:rsidRDefault="00C849BA" w:rsidP="00C849BA"/>
        </w:tc>
        <w:tc>
          <w:tcPr>
            <w:tcW w:w="4013" w:type="dxa"/>
          </w:tcPr>
          <w:p w14:paraId="0684786D" w14:textId="77777777" w:rsidR="00C849BA" w:rsidRDefault="00C849BA" w:rsidP="00C849BA">
            <w:r>
              <w:t>0 = Not prelim</w:t>
            </w:r>
          </w:p>
          <w:p w14:paraId="230C911E" w14:textId="77777777" w:rsidR="00C849BA" w:rsidRDefault="00C849BA" w:rsidP="00C849BA">
            <w:r>
              <w:t>1 = Prelim</w:t>
            </w:r>
          </w:p>
        </w:tc>
      </w:tr>
      <w:tr w:rsidR="00C849BA" w14:paraId="33CFBC18" w14:textId="77777777" w:rsidTr="0001551B">
        <w:tc>
          <w:tcPr>
            <w:tcW w:w="2340" w:type="dxa"/>
          </w:tcPr>
          <w:p w14:paraId="7940F114" w14:textId="77777777" w:rsidR="00C849BA" w:rsidRDefault="00FF681B" w:rsidP="00C849BA">
            <w:r>
              <w:t>value</w:t>
            </w:r>
          </w:p>
        </w:tc>
        <w:tc>
          <w:tcPr>
            <w:tcW w:w="1657" w:type="dxa"/>
          </w:tcPr>
          <w:p w14:paraId="4B6D7DC8" w14:textId="77777777" w:rsidR="00C849BA" w:rsidRDefault="00FF681B" w:rsidP="00F157F5">
            <w:r>
              <w:t>numeric</w:t>
            </w:r>
            <w:r w:rsidR="00C849BA">
              <w:t>(9)</w:t>
            </w:r>
          </w:p>
        </w:tc>
        <w:tc>
          <w:tcPr>
            <w:tcW w:w="1340" w:type="dxa"/>
          </w:tcPr>
          <w:p w14:paraId="427F42B0" w14:textId="77777777" w:rsidR="00C849BA" w:rsidRDefault="00C849BA" w:rsidP="00C849BA"/>
        </w:tc>
        <w:tc>
          <w:tcPr>
            <w:tcW w:w="4013" w:type="dxa"/>
          </w:tcPr>
          <w:p w14:paraId="272E3C65" w14:textId="6DA0A1B7" w:rsidR="00C849BA" w:rsidRDefault="00C849BA" w:rsidP="00C849BA"/>
        </w:tc>
      </w:tr>
      <w:tr w:rsidR="00C849BA" w14:paraId="4E1D1871" w14:textId="77777777" w:rsidTr="0001551B">
        <w:tc>
          <w:tcPr>
            <w:tcW w:w="2340" w:type="dxa"/>
          </w:tcPr>
          <w:p w14:paraId="436FB08C" w14:textId="77777777" w:rsidR="00C849BA" w:rsidRDefault="00FF681B" w:rsidP="00C849BA">
            <w:r>
              <w:t>rate</w:t>
            </w:r>
          </w:p>
        </w:tc>
        <w:tc>
          <w:tcPr>
            <w:tcW w:w="1657" w:type="dxa"/>
          </w:tcPr>
          <w:p w14:paraId="2ED4BDCE" w14:textId="77777777" w:rsidR="00C849BA" w:rsidRDefault="00FF681B" w:rsidP="00C849BA">
            <w:r>
              <w:t>numeric</w:t>
            </w:r>
            <w:r w:rsidR="00C849BA">
              <w:t>(8,2)</w:t>
            </w:r>
          </w:p>
        </w:tc>
        <w:tc>
          <w:tcPr>
            <w:tcW w:w="1340" w:type="dxa"/>
          </w:tcPr>
          <w:p w14:paraId="32826499" w14:textId="77777777" w:rsidR="00C849BA" w:rsidRDefault="00C849BA" w:rsidP="00C849BA"/>
        </w:tc>
        <w:tc>
          <w:tcPr>
            <w:tcW w:w="4013" w:type="dxa"/>
          </w:tcPr>
          <w:p w14:paraId="4F5A167A" w14:textId="77777777" w:rsidR="00C849BA" w:rsidRDefault="00FF681B" w:rsidP="00C849BA">
            <w:r>
              <w:t>percent</w:t>
            </w:r>
          </w:p>
        </w:tc>
      </w:tr>
      <w:tr w:rsidR="00C849BA" w14:paraId="18B37754" w14:textId="77777777" w:rsidTr="0001551B">
        <w:tc>
          <w:tcPr>
            <w:tcW w:w="9350" w:type="dxa"/>
            <w:gridSpan w:val="4"/>
            <w:shd w:val="clear" w:color="auto" w:fill="BFBFBF" w:themeFill="background1" w:themeFillShade="BF"/>
          </w:tcPr>
          <w:p w14:paraId="4D3F83E3" w14:textId="77777777" w:rsidR="00C849BA" w:rsidRPr="00C849BA" w:rsidRDefault="00C849BA" w:rsidP="00C849BA">
            <w:pPr>
              <w:rPr>
                <w:b/>
              </w:rPr>
            </w:pPr>
            <w:r w:rsidRPr="00C849BA">
              <w:rPr>
                <w:b/>
              </w:rPr>
              <w:t>Constraint Information</w:t>
            </w:r>
          </w:p>
        </w:tc>
      </w:tr>
      <w:tr w:rsidR="00C849BA" w14:paraId="64F56829" w14:textId="77777777" w:rsidTr="0001551B">
        <w:tc>
          <w:tcPr>
            <w:tcW w:w="9350" w:type="dxa"/>
            <w:gridSpan w:val="4"/>
          </w:tcPr>
          <w:p w14:paraId="37F59F84" w14:textId="77777777" w:rsidR="00C849BA" w:rsidRDefault="00C849BA" w:rsidP="00FF681B">
            <w:r>
              <w:t>1 Foreign Key (</w:t>
            </w:r>
            <w:r w:rsidR="00FF681B">
              <w:t>jolts</w:t>
            </w:r>
            <w:r>
              <w:t>.</w:t>
            </w:r>
            <w:r w:rsidR="00FF681B">
              <w:t>stfips</w:t>
            </w:r>
            <w:r>
              <w:t xml:space="preserve">, </w:t>
            </w:r>
            <w:r w:rsidR="00FF681B">
              <w:t>jolts</w:t>
            </w:r>
            <w:r>
              <w:t>.</w:t>
            </w:r>
            <w:r w:rsidR="00FF681B">
              <w:t>areatype</w:t>
            </w:r>
            <w:r>
              <w:t xml:space="preserve">, </w:t>
            </w:r>
            <w:r w:rsidR="00FF681B">
              <w:t>jolts</w:t>
            </w:r>
            <w:r>
              <w:t>.</w:t>
            </w:r>
            <w:r w:rsidR="00FF681B">
              <w:t>area</w:t>
            </w:r>
            <w:r>
              <w:t>) references (</w:t>
            </w:r>
            <w:r w:rsidR="00FF681B">
              <w:t>geog</w:t>
            </w:r>
            <w:r>
              <w:t>.</w:t>
            </w:r>
            <w:r w:rsidR="00FF681B">
              <w:t>stfips</w:t>
            </w:r>
            <w:r>
              <w:t xml:space="preserve">, </w:t>
            </w:r>
            <w:r w:rsidR="00FF681B">
              <w:t>geog</w:t>
            </w:r>
            <w:r>
              <w:t>.</w:t>
            </w:r>
            <w:r w:rsidR="00FF681B">
              <w:t>areatype</w:t>
            </w:r>
            <w:r>
              <w:t xml:space="preserve">, </w:t>
            </w:r>
            <w:r w:rsidR="00FF681B">
              <w:t>geog</w:t>
            </w:r>
            <w:r>
              <w:t>.</w:t>
            </w:r>
            <w:r w:rsidR="00FF681B">
              <w:t>area</w:t>
            </w:r>
            <w:r>
              <w:t>)</w:t>
            </w:r>
            <w:r>
              <w:br/>
              <w:t>2 Foreign Key (</w:t>
            </w:r>
            <w:r w:rsidR="00FF681B">
              <w:t>jolts</w:t>
            </w:r>
            <w:r>
              <w:t>.</w:t>
            </w:r>
            <w:r w:rsidR="00FF681B">
              <w:t>periodyear</w:t>
            </w:r>
            <w:r>
              <w:t xml:space="preserve">, </w:t>
            </w:r>
            <w:r w:rsidR="00FF681B">
              <w:t>jolts</w:t>
            </w:r>
            <w:r>
              <w:t>.</w:t>
            </w:r>
            <w:r w:rsidR="00FF681B">
              <w:t>periodtype</w:t>
            </w:r>
            <w:r>
              <w:t xml:space="preserve">, </w:t>
            </w:r>
            <w:r w:rsidR="00FF681B">
              <w:t>jolts</w:t>
            </w:r>
            <w:r>
              <w:t>.</w:t>
            </w:r>
            <w:r w:rsidR="00FF681B">
              <w:t>period</w:t>
            </w:r>
            <w:r>
              <w:t>) references (</w:t>
            </w:r>
            <w:r w:rsidR="00FF681B">
              <w:t>period</w:t>
            </w:r>
            <w:r>
              <w:t>.</w:t>
            </w:r>
            <w:r w:rsidR="00FF681B">
              <w:t>periodyear</w:t>
            </w:r>
            <w:r>
              <w:t>, PERIOD.</w:t>
            </w:r>
            <w:r w:rsidR="00FF681B">
              <w:t>periodtype</w:t>
            </w:r>
            <w:r>
              <w:t xml:space="preserve">, </w:t>
            </w:r>
            <w:r w:rsidR="00FF681B">
              <w:t>period</w:t>
            </w:r>
            <w:r>
              <w:t>.</w:t>
            </w:r>
            <w:r w:rsidR="00FF681B">
              <w:t>period</w:t>
            </w:r>
            <w:r>
              <w:t>)</w:t>
            </w:r>
            <w:r>
              <w:br/>
              <w:t>3 Foreign Key (</w:t>
            </w:r>
            <w:r w:rsidR="00FF681B">
              <w:t>jolts</w:t>
            </w:r>
            <w:r>
              <w:t>.</w:t>
            </w:r>
            <w:r w:rsidR="00FF681B">
              <w:t>stfips</w:t>
            </w:r>
            <w:r>
              <w:t xml:space="preserve">, </w:t>
            </w:r>
            <w:r w:rsidR="00FF681B">
              <w:t>jolts</w:t>
            </w:r>
            <w:r>
              <w:t>.</w:t>
            </w:r>
            <w:r w:rsidR="00FF681B">
              <w:t>indcodetype</w:t>
            </w:r>
            <w:r>
              <w:t xml:space="preserve">, </w:t>
            </w:r>
            <w:r w:rsidR="00FF681B">
              <w:t>jolts</w:t>
            </w:r>
            <w:r>
              <w:t>.</w:t>
            </w:r>
            <w:r w:rsidR="00FF681B">
              <w:t>indcode</w:t>
            </w:r>
            <w:r>
              <w:t>) references (</w:t>
            </w:r>
            <w:r w:rsidR="00FF681B">
              <w:t>indcodes</w:t>
            </w:r>
            <w:r>
              <w:t>.</w:t>
            </w:r>
            <w:r w:rsidR="00FF681B">
              <w:t>stfips</w:t>
            </w:r>
            <w:r>
              <w:t xml:space="preserve">, </w:t>
            </w:r>
            <w:r w:rsidR="00FF681B">
              <w:t>indcodes</w:t>
            </w:r>
            <w:r>
              <w:t>.</w:t>
            </w:r>
            <w:r w:rsidR="00FF681B">
              <w:t>codetype</w:t>
            </w:r>
            <w:r>
              <w:t xml:space="preserve">, </w:t>
            </w:r>
            <w:r w:rsidR="00FF681B">
              <w:t>indcodes</w:t>
            </w:r>
            <w:r>
              <w:t>.</w:t>
            </w:r>
            <w:r w:rsidR="00FF681B">
              <w:t>code</w:t>
            </w:r>
            <w:r>
              <w:t>)</w:t>
            </w:r>
            <w:r>
              <w:br/>
              <w:t>4 Foreign Key (</w:t>
            </w:r>
            <w:r w:rsidR="00FF681B">
              <w:t>jolts</w:t>
            </w:r>
            <w:r>
              <w:t>.</w:t>
            </w:r>
            <w:r w:rsidR="00FF681B">
              <w:t>dataelecode</w:t>
            </w:r>
            <w:r w:rsidR="00F157F5">
              <w:t>) references (</w:t>
            </w:r>
            <w:r w:rsidR="00FF681B">
              <w:t>joltstype</w:t>
            </w:r>
            <w:r w:rsidR="00F157F5">
              <w:t>.</w:t>
            </w:r>
            <w:r w:rsidR="00FF681B">
              <w:t>jttypecode</w:t>
            </w:r>
            <w:r w:rsidR="00F157F5">
              <w:t>)</w:t>
            </w:r>
          </w:p>
        </w:tc>
      </w:tr>
    </w:tbl>
    <w:p w14:paraId="35A9EB99" w14:textId="77777777" w:rsidR="00C849BA" w:rsidRDefault="00C849BA"/>
    <w:p w14:paraId="52C02C57" w14:textId="77777777" w:rsidR="00C849BA" w:rsidRDefault="00C849BA">
      <w:r>
        <w:br w:type="page"/>
      </w:r>
    </w:p>
    <w:p w14:paraId="3171E4B1" w14:textId="77777777" w:rsidR="009178CB" w:rsidRDefault="00C849BA">
      <w:r>
        <w:lastRenderedPageBreak/>
        <w:t xml:space="preserve">New </w:t>
      </w:r>
      <w:r w:rsidR="009178CB">
        <w:t>LOOK UP</w:t>
      </w:r>
      <w:r>
        <w:t xml:space="preserve"> Table</w:t>
      </w:r>
      <w:r w:rsidR="00811F67">
        <w:t>/Field Values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344"/>
        <w:gridCol w:w="2322"/>
        <w:gridCol w:w="2337"/>
      </w:tblGrid>
      <w:tr w:rsidR="009178CB" w14:paraId="2DCB9719" w14:textId="77777777" w:rsidTr="007F28F3">
        <w:tc>
          <w:tcPr>
            <w:tcW w:w="2394" w:type="dxa"/>
            <w:shd w:val="clear" w:color="auto" w:fill="BFBFBF" w:themeFill="background1" w:themeFillShade="BF"/>
          </w:tcPr>
          <w:p w14:paraId="795F2108" w14:textId="77777777" w:rsidR="009178CB" w:rsidRPr="0001551B" w:rsidRDefault="009178CB" w:rsidP="005C0F86">
            <w:pPr>
              <w:rPr>
                <w:b/>
              </w:rPr>
            </w:pPr>
            <w:r w:rsidRPr="0001551B">
              <w:rPr>
                <w:b/>
              </w:rPr>
              <w:t>JOLTS</w:t>
            </w:r>
            <w:r w:rsidR="00E86D1C" w:rsidRPr="0001551B">
              <w:rPr>
                <w:b/>
              </w:rPr>
              <w:t>TYPE</w:t>
            </w:r>
          </w:p>
        </w:tc>
        <w:tc>
          <w:tcPr>
            <w:tcW w:w="7182" w:type="dxa"/>
            <w:gridSpan w:val="3"/>
            <w:shd w:val="clear" w:color="auto" w:fill="BFBFBF" w:themeFill="background1" w:themeFillShade="BF"/>
          </w:tcPr>
          <w:p w14:paraId="51831BBA" w14:textId="77777777" w:rsidR="009178CB" w:rsidRPr="007F28F3" w:rsidRDefault="009178CB" w:rsidP="009178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</w:p>
        </w:tc>
      </w:tr>
      <w:tr w:rsidR="009178CB" w14:paraId="77E5FDC3" w14:textId="77777777" w:rsidTr="0019238E">
        <w:tc>
          <w:tcPr>
            <w:tcW w:w="2394" w:type="dxa"/>
          </w:tcPr>
          <w:p w14:paraId="76705C77" w14:textId="77777777" w:rsidR="009178CB" w:rsidRPr="0001551B" w:rsidRDefault="00FF681B" w:rsidP="00E86D1C">
            <w:r w:rsidRPr="0001551B">
              <w:t>j</w:t>
            </w:r>
            <w:r w:rsidR="00B74FFD" w:rsidRPr="0001551B">
              <w:t>ol</w:t>
            </w:r>
            <w:r w:rsidRPr="0001551B">
              <w:t>t</w:t>
            </w:r>
            <w:r w:rsidR="00B74FFD" w:rsidRPr="0001551B">
              <w:t>s</w:t>
            </w:r>
            <w:r w:rsidRPr="0001551B">
              <w:t>typecode</w:t>
            </w:r>
          </w:p>
        </w:tc>
        <w:tc>
          <w:tcPr>
            <w:tcW w:w="2394" w:type="dxa"/>
          </w:tcPr>
          <w:p w14:paraId="4F983EE2" w14:textId="77777777" w:rsidR="009178CB" w:rsidRDefault="00FF681B" w:rsidP="00693339">
            <w:r>
              <w:t>char</w:t>
            </w:r>
            <w:r w:rsidR="009178CB">
              <w:t>(</w:t>
            </w:r>
            <w:r w:rsidR="00693339">
              <w:t>2</w:t>
            </w:r>
            <w:r w:rsidR="009178CB">
              <w:t>)</w:t>
            </w:r>
          </w:p>
        </w:tc>
        <w:tc>
          <w:tcPr>
            <w:tcW w:w="2394" w:type="dxa"/>
          </w:tcPr>
          <w:p w14:paraId="1EB15578" w14:textId="77777777" w:rsidR="009178CB" w:rsidRDefault="00FF681B" w:rsidP="0019238E">
            <w:r>
              <w:t>Primary Key</w:t>
            </w:r>
          </w:p>
        </w:tc>
        <w:tc>
          <w:tcPr>
            <w:tcW w:w="2394" w:type="dxa"/>
          </w:tcPr>
          <w:p w14:paraId="1428AF9E" w14:textId="77777777" w:rsidR="009178CB" w:rsidRDefault="00AA2BA0" w:rsidP="0019238E">
            <w:r>
              <w:t>Indicator of the type of data</w:t>
            </w:r>
          </w:p>
        </w:tc>
      </w:tr>
      <w:tr w:rsidR="009178CB" w14:paraId="39F01B2D" w14:textId="77777777" w:rsidTr="0019238E">
        <w:tc>
          <w:tcPr>
            <w:tcW w:w="2394" w:type="dxa"/>
          </w:tcPr>
          <w:p w14:paraId="4D4518FA" w14:textId="77777777" w:rsidR="005C0F86" w:rsidRPr="0001551B" w:rsidRDefault="00FF681B" w:rsidP="00E86D1C">
            <w:r w:rsidRPr="0001551B">
              <w:t>j</w:t>
            </w:r>
            <w:r w:rsidR="00B74FFD" w:rsidRPr="0001551B">
              <w:t>ol</w:t>
            </w:r>
            <w:r w:rsidRPr="0001551B">
              <w:t>t</w:t>
            </w:r>
            <w:r w:rsidR="00B74FFD" w:rsidRPr="0001551B">
              <w:t>s</w:t>
            </w:r>
            <w:r w:rsidRPr="0001551B">
              <w:t>typedesc</w:t>
            </w:r>
          </w:p>
        </w:tc>
        <w:tc>
          <w:tcPr>
            <w:tcW w:w="2394" w:type="dxa"/>
          </w:tcPr>
          <w:p w14:paraId="6EDC0177" w14:textId="77777777" w:rsidR="009178CB" w:rsidRDefault="00FF681B" w:rsidP="0019238E">
            <w:r>
              <w:t>varchar</w:t>
            </w:r>
            <w:r w:rsidR="001742AA">
              <w:t>(100</w:t>
            </w:r>
            <w:r w:rsidR="005C0F86">
              <w:t>)</w:t>
            </w:r>
          </w:p>
        </w:tc>
        <w:tc>
          <w:tcPr>
            <w:tcW w:w="2394" w:type="dxa"/>
          </w:tcPr>
          <w:p w14:paraId="0931197C" w14:textId="77777777" w:rsidR="009178CB" w:rsidRDefault="009178CB" w:rsidP="0019238E"/>
        </w:tc>
        <w:tc>
          <w:tcPr>
            <w:tcW w:w="2394" w:type="dxa"/>
          </w:tcPr>
          <w:p w14:paraId="3BAB6936" w14:textId="77777777" w:rsidR="009178CB" w:rsidRDefault="00AA2BA0" w:rsidP="0019238E">
            <w:r>
              <w:t>description</w:t>
            </w:r>
          </w:p>
        </w:tc>
      </w:tr>
      <w:tr w:rsidR="00F157F5" w14:paraId="41899ED9" w14:textId="77777777" w:rsidTr="00F157F5">
        <w:tc>
          <w:tcPr>
            <w:tcW w:w="9576" w:type="dxa"/>
            <w:gridSpan w:val="4"/>
            <w:shd w:val="clear" w:color="auto" w:fill="BFBFBF" w:themeFill="background1" w:themeFillShade="BF"/>
          </w:tcPr>
          <w:p w14:paraId="4B4F7007" w14:textId="77777777" w:rsidR="00F157F5" w:rsidRPr="00F157F5" w:rsidRDefault="00F157F5" w:rsidP="0019238E">
            <w:pPr>
              <w:rPr>
                <w:b/>
              </w:rPr>
            </w:pPr>
            <w:r w:rsidRPr="00F157F5">
              <w:rPr>
                <w:b/>
              </w:rPr>
              <w:t>Constraint Information</w:t>
            </w:r>
          </w:p>
        </w:tc>
      </w:tr>
      <w:tr w:rsidR="00F157F5" w14:paraId="2914B777" w14:textId="77777777" w:rsidTr="00D67B69">
        <w:tc>
          <w:tcPr>
            <w:tcW w:w="9576" w:type="dxa"/>
            <w:gridSpan w:val="4"/>
          </w:tcPr>
          <w:p w14:paraId="579FD0A9" w14:textId="77777777" w:rsidR="00F157F5" w:rsidRDefault="00F157F5" w:rsidP="0019238E">
            <w:r>
              <w:t>N/A</w:t>
            </w:r>
          </w:p>
        </w:tc>
      </w:tr>
    </w:tbl>
    <w:p w14:paraId="1ACF226E" w14:textId="77777777" w:rsidR="009178CB" w:rsidRDefault="009178CB"/>
    <w:p w14:paraId="5AF3170C" w14:textId="77777777" w:rsidR="00F157F5" w:rsidRDefault="00F157F5" w:rsidP="00693339">
      <w:pPr>
        <w:spacing w:after="0" w:line="240" w:lineRule="auto"/>
        <w:ind w:left="720" w:hanging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7F5" w14:paraId="276CA17C" w14:textId="77777777" w:rsidTr="00C42401">
        <w:tc>
          <w:tcPr>
            <w:tcW w:w="9576" w:type="dxa"/>
            <w:shd w:val="clear" w:color="auto" w:fill="BFBFBF" w:themeFill="background1" w:themeFillShade="BF"/>
          </w:tcPr>
          <w:p w14:paraId="3AC80B77" w14:textId="77777777" w:rsidR="00F157F5" w:rsidRPr="00F157F5" w:rsidRDefault="00F157F5" w:rsidP="00905954">
            <w:pPr>
              <w:tabs>
                <w:tab w:val="left" w:pos="1410"/>
              </w:tabs>
              <w:rPr>
                <w:b/>
              </w:rPr>
            </w:pPr>
            <w:r w:rsidRPr="00F157F5">
              <w:rPr>
                <w:b/>
              </w:rPr>
              <w:t>Field Values</w:t>
            </w:r>
            <w:r>
              <w:rPr>
                <w:b/>
              </w:rPr>
              <w:t xml:space="preserve"> </w:t>
            </w:r>
            <w:r w:rsidRPr="0001551B">
              <w:rPr>
                <w:b/>
              </w:rPr>
              <w:t xml:space="preserve">for </w:t>
            </w:r>
            <w:r w:rsidR="00905954" w:rsidRPr="0001551B">
              <w:rPr>
                <w:b/>
              </w:rPr>
              <w:t>joltstypecode</w:t>
            </w:r>
          </w:p>
        </w:tc>
      </w:tr>
      <w:tr w:rsidR="00F157F5" w14:paraId="484887CD" w14:textId="77777777" w:rsidTr="00C42401">
        <w:tc>
          <w:tcPr>
            <w:tcW w:w="9576" w:type="dxa"/>
          </w:tcPr>
          <w:p w14:paraId="0D7BCFF1" w14:textId="77777777" w:rsidR="00F157F5" w:rsidRDefault="00F157F5" w:rsidP="00C42401">
            <w:pPr>
              <w:tabs>
                <w:tab w:val="left" w:pos="1410"/>
              </w:tabs>
            </w:pPr>
            <w:r>
              <w:t>HI</w:t>
            </w:r>
            <w:r>
              <w:tab/>
              <w:t>Hires</w:t>
            </w:r>
          </w:p>
          <w:p w14:paraId="61E50560" w14:textId="77777777" w:rsidR="00F157F5" w:rsidRDefault="00F157F5" w:rsidP="00C42401">
            <w:pPr>
              <w:tabs>
                <w:tab w:val="left" w:pos="1410"/>
              </w:tabs>
            </w:pPr>
            <w:r>
              <w:t>JO</w:t>
            </w:r>
            <w:r>
              <w:tab/>
              <w:t>Job openings</w:t>
            </w:r>
          </w:p>
          <w:p w14:paraId="2A0C0FE3" w14:textId="77777777" w:rsidR="00F157F5" w:rsidRDefault="00F157F5" w:rsidP="00C42401">
            <w:pPr>
              <w:tabs>
                <w:tab w:val="left" w:pos="1410"/>
              </w:tabs>
            </w:pPr>
            <w:r>
              <w:t>LD</w:t>
            </w:r>
            <w:r>
              <w:tab/>
              <w:t>Layoffs and discharges</w:t>
            </w:r>
          </w:p>
          <w:p w14:paraId="2BCA5367" w14:textId="77777777" w:rsidR="00F157F5" w:rsidRDefault="00F157F5" w:rsidP="00C42401">
            <w:pPr>
              <w:tabs>
                <w:tab w:val="left" w:pos="1410"/>
              </w:tabs>
            </w:pPr>
            <w:r>
              <w:t>OS</w:t>
            </w:r>
            <w:r>
              <w:tab/>
              <w:t>Other Separation</w:t>
            </w:r>
          </w:p>
          <w:p w14:paraId="0BEE6B64" w14:textId="77777777" w:rsidR="00F157F5" w:rsidRDefault="00F157F5" w:rsidP="00C42401">
            <w:pPr>
              <w:tabs>
                <w:tab w:val="left" w:pos="1410"/>
              </w:tabs>
            </w:pPr>
            <w:r>
              <w:t>QU</w:t>
            </w:r>
            <w:r>
              <w:tab/>
              <w:t>Quits</w:t>
            </w:r>
          </w:p>
          <w:p w14:paraId="549A8E0E" w14:textId="77777777" w:rsidR="00F157F5" w:rsidRDefault="00F157F5" w:rsidP="00C42401">
            <w:pPr>
              <w:tabs>
                <w:tab w:val="left" w:pos="1410"/>
              </w:tabs>
            </w:pPr>
            <w:r>
              <w:t>TS</w:t>
            </w:r>
            <w:r>
              <w:tab/>
              <w:t>Total Separations</w:t>
            </w:r>
          </w:p>
        </w:tc>
      </w:tr>
    </w:tbl>
    <w:p w14:paraId="218E9FB6" w14:textId="77777777" w:rsidR="00693339" w:rsidRDefault="00693339" w:rsidP="00693339">
      <w:pPr>
        <w:spacing w:after="0" w:line="240" w:lineRule="auto"/>
        <w:ind w:left="720" w:hanging="720"/>
      </w:pPr>
    </w:p>
    <w:p w14:paraId="306F5D30" w14:textId="77777777" w:rsidR="007F28F3" w:rsidRDefault="007F28F3" w:rsidP="00693339">
      <w:pPr>
        <w:spacing w:after="0" w:line="240" w:lineRule="auto"/>
        <w:ind w:left="720" w:hanging="720"/>
      </w:pPr>
    </w:p>
    <w:sectPr w:rsidR="007F28F3" w:rsidSect="00E5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A65"/>
    <w:multiLevelType w:val="hybridMultilevel"/>
    <w:tmpl w:val="29C497D6"/>
    <w:lvl w:ilvl="0" w:tplc="268C44E4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B"/>
    <w:rsid w:val="0001551B"/>
    <w:rsid w:val="001742AA"/>
    <w:rsid w:val="002C6FF4"/>
    <w:rsid w:val="0035312B"/>
    <w:rsid w:val="0038602E"/>
    <w:rsid w:val="004D44A7"/>
    <w:rsid w:val="004E5D23"/>
    <w:rsid w:val="005B6505"/>
    <w:rsid w:val="005C0F86"/>
    <w:rsid w:val="006011F6"/>
    <w:rsid w:val="00693339"/>
    <w:rsid w:val="00792099"/>
    <w:rsid w:val="007F28F3"/>
    <w:rsid w:val="00811F67"/>
    <w:rsid w:val="00905954"/>
    <w:rsid w:val="009178CB"/>
    <w:rsid w:val="00A650A6"/>
    <w:rsid w:val="00AA2BA0"/>
    <w:rsid w:val="00B74FFD"/>
    <w:rsid w:val="00B84EA2"/>
    <w:rsid w:val="00B861E2"/>
    <w:rsid w:val="00B86FF0"/>
    <w:rsid w:val="00C13ACF"/>
    <w:rsid w:val="00C65D5C"/>
    <w:rsid w:val="00C849BA"/>
    <w:rsid w:val="00CB60C2"/>
    <w:rsid w:val="00D7143B"/>
    <w:rsid w:val="00E51442"/>
    <w:rsid w:val="00E86D1C"/>
    <w:rsid w:val="00F157F5"/>
    <w:rsid w:val="00F84279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BA34"/>
  <w15:docId w15:val="{0354D229-E65E-48A7-8757-FB123C79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33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5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9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9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9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B4A1C-7D5A-4996-8A89-D8A75D9B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SCDEW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Kinder, Shannon</dc:creator>
  <cp:lastModifiedBy>Rohrer, Amanda (DEED)</cp:lastModifiedBy>
  <cp:revision>3</cp:revision>
  <dcterms:created xsi:type="dcterms:W3CDTF">2022-01-24T13:39:00Z</dcterms:created>
  <dcterms:modified xsi:type="dcterms:W3CDTF">2022-01-24T13:46:00Z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