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SimSun" w:hAnsi="Calibri"/>
          <w:b/>
          <w:bCs/>
          <w:color w:val="1F3038"/>
          <w:sz w:val="40"/>
          <w:szCs w:val="40"/>
        </w:rPr>
        <w:t xml:space="preserve">ARC Prize 2026 (ARC-AGI-3): Competition Documentation</w:t>
      </w:r>
    </w:p>
    <w:p>
      <w:pPr>
        <w:spacing w:after="400"/>
        <w:jc w:val="center"/>
      </w:pPr>
      <w:r>
        <w:rPr>
          <w:rFonts w:ascii="Calibri" w:cs="Calibri" w:eastAsia="SimSun" w:hAnsi="Calibri"/>
          <w:color w:val="37474F"/>
          <w:sz w:val="26"/>
          <w:szCs w:val="26"/>
        </w:rPr>
        <w:t xml:space="preserve">Hexactinellid Spicule Lattice: 6-Ray Epistemic Verification for Interactive Grid Reasoning</w:t>
      </w:r>
    </w:p>
    <w:p>
      <w:pPr>
        <w:spacing w:after="140" w:line="276"/>
        <w:jc w:val="center"/>
      </w:pPr>
      <w:r>
        <w:rPr>
          <w:rFonts w:ascii="Calibri" w:cs="Calibri" w:eastAsia="SimSun" w:hAnsi="Calibri"/>
          <w:color w:val="78909C"/>
          <w:sz w:val="22"/>
          <w:szCs w:val="22"/>
        </w:rPr>
        <w:t xml:space="preserve">Team: Coralfil AI Research Group · Contact: roland.poulin@coralfil.com</w:t>
      </w:r>
    </w:p>
    <w:p>
      <w:pPr>
        <w:spacing w:before="600"/>
        <w:jc w:val="center"/>
      </w:pPr>
      <w:r>
        <w:rPr>
          <w:rFonts w:ascii="Calibri" w:cs="Calibri" w:eastAsia="SimSun" w:hAnsi="Calibri"/>
          <w:i/>
          <w:iCs/>
          <w:color w:val="78909C"/>
          <w:sz w:val="20"/>
          <w:szCs w:val="20"/>
        </w:rPr>
        <w:t xml:space="preserve">Documentation per Kaggle competition documentation template (sections A1 to A9, B1 to B8).</w:t>
      </w:r>
    </w:p>
    <w:p>
      <w:pPr>
        <w:spacing w:after="140" w:line="276"/>
        <w:jc w:val="center"/>
      </w:pPr>
      <w:r>
        <w:rPr>
          <w:rFonts w:ascii="Calibri" w:cs="Calibri" w:eastAsia="SimSun" w:hAnsi="Calibri"/>
          <w:i/>
          <w:iCs/>
          <w:color w:val="78909C"/>
          <w:sz w:val="20"/>
          <w:szCs w:val="20"/>
        </w:rPr>
        <w:t xml:space="preserve">Markers in red ([TBC: …]) flag fields that can only be known after submission: everything else is final.</w:t>
      </w:r>
    </w:p>
    <w:p>
      <w:pPr>
        <w:spacing w:before="4800"/>
        <w:jc w:val="center"/>
      </w:pPr>
      <w:r>
        <w:rPr>
          <w:rFonts w:ascii="Calibri" w:cs="Calibri" w:eastAsia="SimSun" w:hAnsi="Calibri"/>
          <w:sz w:val="20"/>
          <w:szCs w:val="20"/>
        </w:rPr>
        <w:fldChar w:fldCharType="begin"/>
        <w:instrText xml:space="preserve">PAGE</w:instrText>
        <w:fldChar w:fldCharType="separate"/>
        <w:fldChar w:fldCharType="end"/>
      </w:r>
    </w:p>
    <w:p>
      <w:r>
        <w:br w:type="page"/>
      </w:r>
    </w:p>
    <w:p>
      <w:pPr>
        <w:pStyle w:val="Heading1"/>
        <w:spacing w:after="140" w:before="240"/>
      </w:pPr>
      <w:r>
        <w:rPr>
          <w:rFonts w:ascii="Calibri" w:cs="Calibri" w:eastAsia="SimSun" w:hAnsi="Calibri"/>
          <w:b/>
          <w:bCs/>
          <w:color w:val="1F3038"/>
          <w:sz w:val="30"/>
          <w:szCs w:val="30"/>
        </w:rPr>
        <w:t xml:space="preserve">Contents</w:t>
      </w:r>
    </w:p>
    <w:p>
      <w:pPr>
        <w:spacing w:after="140" w:line="276"/>
      </w:pPr>
      <w:r>
        <w:rPr>
          <w:rFonts w:ascii="Calibri" w:cs="Calibri" w:eastAsia="SimSun" w:hAnsi="Calibri"/>
          <w:i/>
          <w:iCs/>
          <w:color w:val="78909C"/>
          <w:sz w:val="20"/>
          <w:szCs w:val="20"/>
        </w:rPr>
        <w:t xml:space="preserve">Right-click the table of contents and choose "Update Field" to refresh page numbers.</w:t>
      </w:r>
    </w:p>
    <w:sdt xmlns:w="http://schemas.openxmlformats.org/wordprocessingml/2006/main">
      <w:sdtPr>
        <w:alias w:val="Contents"/>
      </w:sdtPr>
      <w:sdtContent>
        <w:p>
          <w:r>
            <w:fldChar w:fldCharType="begin" w:dirty="true"/>
            <w:instrText xml:space="preserve"> TOC \o "1-2" \h \z \u </w:instrText>
            <w:fldChar w:fldCharType="separate"/>
          </w:r>
        </w:p>
        <w:p>
          <w:pPr>
            <w:pStyle w:val="TOC1"/>
            <w:tabs>
              <w:tab w:val="right" w:leader="dot" w:pos="9000"/>
            </w:tabs>
            <w:ind w:left="0"/>
          </w:pPr>
          <w:r>
            <w:t>A1. Competition and Team</w:t>
          </w:r>
          <w:r>
            <w:tab/>
          </w:r>
          <w:r>
            <w:t>2</w:t>
          </w:r>
        </w:p>
        <w:p>
          <w:pPr>
            <w:pStyle w:val="TOC2"/>
            <w:tabs>
              <w:tab w:val="right" w:leader="dot" w:pos="9000"/>
            </w:tabs>
            <w:ind w:left="360"/>
          </w:pPr>
          <w:r>
            <w:t>A2. Background on the Team</w:t>
          </w:r>
          <w:r>
            <w:tab/>
          </w:r>
          <w:r>
            <w:t>2</w:t>
          </w:r>
        </w:p>
        <w:p>
          <w:pPr>
            <w:pStyle w:val="TOC2"/>
            <w:tabs>
              <w:tab w:val="right" w:leader="dot" w:pos="9000"/>
            </w:tabs>
            <w:ind w:left="360"/>
          </w:pPr>
          <w:r>
            <w:t>A3. Summary</w:t>
          </w:r>
          <w:r>
            <w:tab/>
          </w:r>
          <w:r>
            <w:t>3</w:t>
          </w:r>
        </w:p>
        <w:p>
          <w:pPr>
            <w:pStyle w:val="TOC2"/>
            <w:tabs>
              <w:tab w:val="right" w:leader="dot" w:pos="9000"/>
            </w:tabs>
            <w:ind w:left="360"/>
          </w:pPr>
          <w:r>
            <w:t>A4. Features / Engineering</w:t>
          </w:r>
          <w:r>
            <w:tab/>
          </w:r>
          <w:r>
            <w:t>3</w:t>
          </w:r>
        </w:p>
        <w:p>
          <w:pPr>
            <w:pStyle w:val="TOC2"/>
            <w:tabs>
              <w:tab w:val="right" w:leader="dot" w:pos="9000"/>
            </w:tabs>
            <w:ind w:left="360"/>
          </w:pPr>
          <w:r>
            <w:t>A5. Training Method(s)</w:t>
          </w:r>
          <w:r>
            <w:tab/>
          </w:r>
          <w:r>
            <w:t>4</w:t>
          </w:r>
        </w:p>
        <w:p>
          <w:pPr>
            <w:pStyle w:val="TOC2"/>
            <w:tabs>
              <w:tab w:val="right" w:leader="dot" w:pos="9000"/>
            </w:tabs>
            <w:ind w:left="360"/>
          </w:pPr>
          <w:r>
            <w:t>A6. Interesting Findings</w:t>
          </w:r>
          <w:r>
            <w:tab/>
          </w:r>
          <w:r>
            <w:t>4</w:t>
          </w:r>
        </w:p>
        <w:p>
          <w:pPr>
            <w:pStyle w:val="TOC2"/>
            <w:tabs>
              <w:tab w:val="right" w:leader="dot" w:pos="9000"/>
            </w:tabs>
            <w:ind w:left="360"/>
          </w:pPr>
          <w:r>
            <w:t>A7. Simple Features and Methods</w:t>
          </w:r>
          <w:r>
            <w:tab/>
          </w:r>
          <w:r>
            <w:t>5</w:t>
          </w:r>
        </w:p>
        <w:p>
          <w:pPr>
            <w:pStyle w:val="TOC2"/>
            <w:tabs>
              <w:tab w:val="right" w:leader="dot" w:pos="9000"/>
            </w:tabs>
            <w:ind w:left="360"/>
          </w:pPr>
          <w:r>
            <w:t>A8. Model Execution Time</w:t>
          </w:r>
          <w:r>
            <w:tab/>
          </w:r>
          <w:r>
            <w:t>5</w:t>
          </w:r>
        </w:p>
        <w:p>
          <w:pPr>
            <w:pStyle w:val="TOC2"/>
            <w:tabs>
              <w:tab w:val="right" w:leader="dot" w:pos="9000"/>
            </w:tabs>
            <w:ind w:left="360"/>
          </w:pPr>
          <w:r>
            <w:t>A9. References</w:t>
          </w:r>
          <w:r>
            <w:tab/>
          </w:r>
          <w:r>
            <w:t>6</w:t>
          </w:r>
        </w:p>
        <w:p>
          <w:r>
            <w:fldChar w:fldCharType="end"/>
          </w:r>
        </w:p>
      </w:sdtContent>
    </w:sdt>
    <w:p>
      <w:pPr>
        <w:pageBreakBefore/>
      </w:pPr>
    </w:p>
    <w:p>
      <w:pPr>
        <w:pStyle w:val="Heading1"/>
        <w:spacing w:after="140" w:before="320"/>
      </w:pPr>
      <w:r>
        <w:rPr>
          <w:rFonts w:ascii="Calibri" w:cs="Calibri" w:eastAsia="SimSun" w:hAnsi="Calibri"/>
          <w:b/>
          <w:bCs/>
          <w:color w:val="1F3038"/>
          <w:sz w:val="30"/>
          <w:szCs w:val="30"/>
        </w:rPr>
        <w:t xml:space="preserve">A1. Competition and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EF3F6" w:val="clear"/>
            <w:tcMar>
              <w:top w:type="dxa" w:w="100"/>
              <w:left w:type="dxa" w:w="120"/>
              <w:bottom w:type="dxa" w:w="100"/>
              <w:right w:type="dxa" w:w="120"/>
            </w:tcMar>
          </w:tcPr>
          <w:p>
            <w:pPr>
              <w:spacing w:after="140" w:line="276"/>
            </w:pPr>
            <w:r>
              <w:rPr>
                <w:rFonts w:ascii="Calibri" w:cs="Calibri" w:eastAsia="SimSun" w:hAnsi="Calibri"/>
                <w:sz w:val="21"/>
                <w:szCs w:val="21"/>
              </w:rPr>
              <w:t xml:space="preserve">Field</w:t>
            </w:r>
          </w:p>
        </w:tc>
        <w:tc>
          <w:tcPr>
            <w:tcW w:type="dxa" w:w="5800"/>
            <w:shd w:fill="EEF3F6" w:val="clear"/>
            <w:tcMar>
              <w:top w:type="dxa" w:w="100"/>
              <w:left w:type="dxa" w:w="120"/>
              <w:bottom w:type="dxa" w:w="100"/>
              <w:right w:type="dxa" w:w="120"/>
            </w:tcMar>
          </w:tcPr>
          <w:p>
            <w:pPr>
              <w:spacing w:after="140" w:line="276"/>
            </w:pPr>
            <w:r>
              <w:rPr>
                <w:rFonts w:ascii="Calibri" w:cs="Calibri" w:eastAsia="SimSun" w:hAnsi="Calibri"/>
                <w:sz w:val="21"/>
                <w:szCs w:val="21"/>
              </w:rPr>
              <w:t xml:space="preserve">Value</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Competition Name</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ARC Prize 2026: ARC-AGI-3 (Kaggle)</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Team Name</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Coralfil AI Research Group</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Private Leaderboard Score</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Pending final scoring (public score 29.55, submission ref 57699051, judged 2026-10-27)</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Private Leaderboard Place</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Pending final scoring (public rank 909 / 4922 teams, 2026-10-27)</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Team Member</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Roland Poulin</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Location</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Victoria, British Columbia, Canada</w:t>
            </w:r>
          </w:p>
        </w:tc>
      </w:tr>
      <w:tr>
        <w:tc>
          <w:tcPr>
            <w:tcW w:type="dxa" w:w="3200"/>
            <w:tcMar>
              <w:top w:type="dxa" w:w="100"/>
              <w:left w:type="dxa" w:w="120"/>
              <w:bottom w:type="dxa" w:w="100"/>
              <w:right w:type="dxa" w:w="120"/>
            </w:tcMar>
          </w:tcPr>
          <w:p>
            <w:pPr>
              <w:spacing w:after="140" w:line="276"/>
            </w:pPr>
            <w:r>
              <w:rPr>
                <w:rFonts w:ascii="Calibri" w:cs="Calibri" w:eastAsia="SimSun" w:hAnsi="Calibri"/>
                <w:sz w:val="21"/>
                <w:szCs w:val="21"/>
              </w:rPr>
              <w:t xml:space="preserve">Email</w:t>
            </w:r>
          </w:p>
        </w:tc>
        <w:tc>
          <w:tcPr>
            <w:tcW w:type="dxa" w:w="5800"/>
            <w:tcMar>
              <w:top w:type="dxa" w:w="100"/>
              <w:left w:type="dxa" w:w="120"/>
              <w:bottom w:type="dxa" w:w="100"/>
              <w:right w:type="dxa" w:w="120"/>
            </w:tcMar>
          </w:tcPr>
          <w:p>
            <w:pPr>
              <w:spacing w:after="140" w:line="276"/>
            </w:pPr>
            <w:r>
              <w:rPr>
                <w:rFonts w:ascii="Calibri" w:cs="Calibri" w:eastAsia="SimSun" w:hAnsi="Calibri"/>
                <w:sz w:val="21"/>
                <w:szCs w:val="21"/>
              </w:rPr>
              <w:t xml:space="preserve">roland.poulin@coralfil.com</w:t>
            </w:r>
          </w:p>
        </w:tc>
      </w:tr>
    </w:tbl>
    <w:p>
      <w:pPr>
        <w:pStyle w:val="Heading1"/>
        <w:spacing w:after="140" w:before="320"/>
      </w:pPr>
      <w:r>
        <w:rPr>
          <w:rFonts w:ascii="Calibri" w:cs="Calibri" w:eastAsia="SimSun" w:hAnsi="Calibri"/>
          <w:b/>
          <w:bCs/>
          <w:color w:val="1F3038"/>
          <w:sz w:val="30"/>
          <w:szCs w:val="30"/>
        </w:rPr>
        <w:t xml:space="preserve">A2. Background on the Team</w:t>
      </w:r>
    </w:p>
    <w:p>
      <w:pPr>
        <w:spacing w:after="140" w:line="276"/>
        <w:ind w:firstLine="431"/>
      </w:pPr>
      <w:r>
        <w:rPr>
          <w:rFonts w:ascii="Calibri" w:cs="Calibri" w:eastAsia="SimSun" w:hAnsi="Calibri"/>
          <w:sz w:val="22"/>
          <w:szCs w:val="22"/>
        </w:rPr>
        <w:t xml:space="preserve">The team is a single member, so the team-specific questions (teaming, division of labor) do not apply.</w:t>
      </w:r>
    </w:p>
    <w:p>
      <w:pPr>
        <w:spacing w:after="140" w:line="276"/>
        <w:ind w:firstLine="431"/>
      </w:pPr>
      <w:r>
        <w:rPr>
          <w:rFonts w:ascii="Calibri" w:cs="Calibri" w:eastAsia="SimSun" w:hAnsi="Calibri"/>
          <w:b/>
          <w:bCs/>
          <w:sz w:val="22"/>
          <w:szCs w:val="22"/>
        </w:rPr>
        <w:t xml:space="preserve">Academic/professional background: </w:t>
      </w:r>
      <w:r>
        <w:rPr>
          <w:rFonts w:ascii="Calibri" w:cs="Calibri" w:eastAsia="SimSun" w:hAnsi="Calibri"/>
          <w:sz w:val="22"/>
          <w:szCs w:val="22"/>
        </w:rPr>
        <w:t xml:space="preserve">Engineer, developer, and founder of Coralfil. Primary focus is applied marine-domain artificial intelligence, specializing in hydrodynamic reasoning, Canadian maritime statutory compliance (DFO and Transport Canada), and production foundation model deployment.</w:t>
      </w:r>
    </w:p>
    <w:p>
      <w:pPr>
        <w:spacing w:after="140" w:line="276"/>
        <w:ind w:firstLine="431"/>
      </w:pPr>
      <w:r>
        <w:rPr>
          <w:rFonts w:ascii="Calibri" w:cs="Calibri" w:eastAsia="SimSun" w:hAnsi="Calibri"/>
          <w:b/>
          <w:bCs/>
          <w:sz w:val="22"/>
          <w:szCs w:val="22"/>
        </w:rPr>
        <w:t xml:space="preserve">Prior experience that helped: </w:t>
      </w:r>
      <w:r>
        <w:rPr>
          <w:rFonts w:ascii="Calibri" w:cs="Calibri" w:eastAsia="SimSun" w:hAnsi="Calibri"/>
          <w:sz w:val="22"/>
          <w:szCs w:val="22"/>
        </w:rPr>
        <w:t xml:space="preserve">Production experience fine-tuning and high-throughput serving of quantized open-weight language models (LoRA/RS-LoRA, AWQ, vLLM, and SGLang), combined with designing deterministic verification harnesses and finite-state machines around neural generation.</w:t>
      </w:r>
    </w:p>
    <w:p>
      <w:pPr>
        <w:spacing w:after="140" w:line="276"/>
        <w:ind w:firstLine="431"/>
      </w:pPr>
      <w:r>
        <w:rPr>
          <w:rFonts w:ascii="Calibri" w:cs="Calibri" w:eastAsia="SimSun" w:hAnsi="Calibri"/>
          <w:b/>
          <w:bCs/>
          <w:sz w:val="22"/>
          <w:szCs w:val="22"/>
        </w:rPr>
        <w:t xml:space="preserve">Motivation for entering: </w:t>
      </w:r>
      <w:r>
        <w:rPr>
          <w:rFonts w:ascii="Calibri" w:cs="Calibri" w:eastAsia="SimSun" w:hAnsi="Calibri"/>
          <w:sz w:val="22"/>
          <w:szCs w:val="22"/>
        </w:rPr>
        <w:t xml:space="preserve">To test whether formal verification discipline (specifically contraction mapping guarantees and topological state verification, rather than scaling model parameters) can fundamentally eliminate cyclic entrapment and hallucination in multi-step interactive environments.</w:t>
      </w:r>
    </w:p>
    <w:p>
      <w:pPr>
        <w:spacing w:after="140" w:line="276"/>
        <w:ind w:firstLine="431"/>
      </w:pPr>
      <w:r>
        <w:rPr>
          <w:rFonts w:ascii="Calibri" w:cs="Calibri" w:eastAsia="SimSun" w:hAnsi="Calibri"/>
          <w:b/>
          <w:bCs/>
          <w:sz w:val="22"/>
          <w:szCs w:val="22"/>
        </w:rPr>
        <w:t xml:space="preserve">Time spent on the competition: </w:t>
      </w:r>
      <w:r>
        <w:rPr>
          <w:rFonts w:ascii="Calibri" w:cs="Calibri" w:eastAsia="SimSun" w:hAnsi="Calibri"/>
          <w:sz w:val="22"/>
          <w:szCs w:val="22"/>
        </w:rPr>
        <w:t xml:space="preserve">approximately 180 hours across 6 weeks (mid-September through late October 2026), allocated as follows:</w:t>
      </w:r>
    </w:p>
    <w:p>
      <w:pPr>
        <w:pStyle w:val="ListParagraph"/>
        <w:numPr>
          <w:ilvl w:val="0"/>
          <w:numId w:val="2"/>
        </w:numPr>
        <w:spacing w:after="80" w:line="276"/>
      </w:pPr>
      <w:r>
        <w:rPr>
          <w:rFonts w:ascii="Calibri" w:cs="Calibri" w:eastAsia="SimSun" w:hAnsi="Calibri"/>
          <w:sz w:val="22"/>
          <w:szCs w:val="22"/>
        </w:rPr>
        <w:t xml:space="preserve">~50 hours: ARC-AGI-3 grid-world perception, entity extraction, and 4-connected spatial decomposition DSL primitives.</w:t>
      </w:r>
    </w:p>
    <w:p>
      <w:pPr>
        <w:pStyle w:val="ListParagraph"/>
        <w:numPr>
          <w:ilvl w:val="0"/>
          <w:numId w:val="2"/>
        </w:numPr>
        <w:spacing w:after="80" w:line="276"/>
      </w:pPr>
      <w:r>
        <w:rPr>
          <w:rFonts w:ascii="Calibri" w:cs="Calibri" w:eastAsia="SimSun" w:hAnsi="Calibri"/>
          <w:sz w:val="22"/>
          <w:szCs w:val="22"/>
        </w:rPr>
        <w:t xml:space="preserve">~45 hours: mathematical formulation of the 6-ray hexactinellid lattice, the Polyphonic Cadence Barrier, and the Banach contraction-mapping proofs.</w:t>
      </w:r>
    </w:p>
    <w:p>
      <w:pPr>
        <w:pStyle w:val="ListParagraph"/>
        <w:numPr>
          <w:ilvl w:val="0"/>
          <w:numId w:val="2"/>
        </w:numPr>
        <w:spacing w:after="80" w:line="276"/>
      </w:pPr>
      <w:r>
        <w:rPr>
          <w:rFonts w:ascii="Calibri" w:cs="Calibri" w:eastAsia="SimSun" w:hAnsi="Calibri"/>
          <w:sz w:val="22"/>
          <w:szCs w:val="22"/>
        </w:rPr>
        <w:t xml:space="preserve">~45 hours: failure-replay triage, collision heatmaps, and deterministic planners (A* gravity routing, BFS frontier exploration).</w:t>
      </w:r>
    </w:p>
    <w:p>
      <w:pPr>
        <w:pStyle w:val="ListParagraph"/>
        <w:numPr>
          <w:ilvl w:val="0"/>
          <w:numId w:val="2"/>
        </w:numPr>
        <w:spacing w:after="80" w:line="276"/>
      </w:pPr>
      <w:r>
        <w:rPr>
          <w:rFonts w:ascii="Calibri" w:cs="Calibri" w:eastAsia="SimSun" w:hAnsi="Calibri"/>
          <w:sz w:val="22"/>
          <w:szCs w:val="22"/>
        </w:rPr>
        <w:t xml:space="preserve">~40 hours: Kaggle offline runtime hardening, vLLM / SGLang serving integration, and automated verification loops.</w:t>
      </w:r>
    </w:p>
    <w:p>
      <w:pPr>
        <w:pStyle w:val="Heading1"/>
        <w:spacing w:after="140" w:before="320"/>
      </w:pPr>
      <w:r>
        <w:rPr>
          <w:rFonts w:ascii="Calibri" w:cs="Calibri" w:eastAsia="SimSun" w:hAnsi="Calibri"/>
          <w:b/>
          <w:bCs/>
          <w:color w:val="1F3038"/>
          <w:sz w:val="30"/>
          <w:szCs w:val="30"/>
        </w:rPr>
        <w:t xml:space="preserve">A3. Summary</w:t>
      </w:r>
    </w:p>
    <w:p>
      <w:pPr>
        <w:spacing w:after="140" w:line="276"/>
        <w:ind w:firstLine="431"/>
      </w:pPr>
      <w:r>
        <w:rPr>
          <w:rFonts w:ascii="Calibri" w:cs="Calibri" w:eastAsia="SimSun" w:hAnsi="Calibri"/>
          <w:sz w:val="22"/>
          <w:szCs w:val="22"/>
        </w:rPr>
        <w:t xml:space="preserve">Our submission is a hybrid neuro-symbolic agent for interactive, non-monotonic grid-world reasoning. A previously fine-tuned 14B language model (the Atlantis-Pyramid 14B Glyph) quantized to 4-bit with Activation-aware Weight Quantization (AWQ, W4A16 group size 128, ~10 GB footprint) and served locally with vLLM (64 parallel beams), proposes candidate action plans from the observed scene. Every candidate is verified before it is executed by a deterministic six-ray epistemic lattice inspired by the skeletal geometry of hexactinellid (glass) sponges: corroboration/contradiction, promotion/demotion, and macro-fusion/topological-annotation. A Polyphonic Cadence Barrier rejects any plan predicted to wall-collide or enter a state cycle before dispatch, and we prove the lattice update is a strict contraction mapping (Banach fixed-point theorem), guaranteeing finite-time convergence and eliminating cyclic entrapment by construction. Deterministic spatial primitives (4-connectivity connected-component labeling in under 2 milliseconds) together with a breadth-first frontier explorer and A* heuristics carry the load whenever neural hypotheses exhaust the latency budget. No training occurs at inference time: the architecture is an inference-time verification framework wrapped around a quantized neural proposal engine. On the three published ARC-AGI-3 challenge games (ls20, vc33, wa30; 23 levels in total) the agent cleared 23/23 levels with zero cycle entrapment, where a random-action baseline clears 0/7 on ls20.</w:t>
      </w:r>
    </w:p>
    <w:p>
      <w:pPr>
        <w:pStyle w:val="Heading1"/>
        <w:spacing w:after="140" w:before="320"/>
      </w:pPr>
      <w:r>
        <w:rPr>
          <w:rFonts w:ascii="Calibri" w:cs="Calibri" w:eastAsia="SimSun" w:hAnsi="Calibri"/>
          <w:b/>
          <w:bCs/>
          <w:color w:val="1F3038"/>
          <w:sz w:val="30"/>
          <w:szCs w:val="30"/>
        </w:rPr>
        <w:t xml:space="preserve">A4. Features / Engineering</w:t>
      </w:r>
    </w:p>
    <w:p>
      <w:pPr>
        <w:spacing w:after="140" w:line="276"/>
        <w:ind w:firstLine="431"/>
      </w:pPr>
      <w:r>
        <w:rPr>
          <w:rFonts w:ascii="Calibri" w:cs="Calibri" w:eastAsia="SimSun" w:hAnsi="Calibri"/>
          <w:sz w:val="22"/>
          <w:szCs w:val="22"/>
        </w:rPr>
        <w:t xml:space="preserve">The task is interactive program synthesis on discrete grids, not tabular prediction, so there is no learned feature-importance plot to show; per the template's alternative, we list the state features the system computes and how they are selected.</w:t>
      </w:r>
    </w:p>
    <w:p>
      <w:pPr>
        <w:pStyle w:val="Heading2"/>
        <w:spacing w:after="100" w:before="220"/>
      </w:pPr>
      <w:r>
        <w:rPr>
          <w:rFonts w:ascii="Calibri" w:cs="Calibri" w:eastAsia="SimSun" w:hAnsi="Calibri"/>
          <w:b/>
          <w:bCs/>
          <w:color w:val="37474F"/>
          <w:sz w:val="25"/>
          <w:szCs w:val="25"/>
        </w:rPr>
        <w:t xml:space="preserve">Most important features (all deterministic, computed per observation)</w:t>
      </w:r>
    </w:p>
    <w:p>
      <w:pPr>
        <w:pStyle w:val="ListParagraph"/>
        <w:numPr>
          <w:ilvl w:val="0"/>
          <w:numId w:val="2"/>
        </w:numPr>
        <w:spacing w:after="80" w:line="276"/>
      </w:pPr>
      <w:r>
        <w:rPr>
          <w:rFonts w:ascii="Calibri" w:cs="Calibri" w:eastAsia="SimSun" w:hAnsi="Calibri"/>
          <w:sz w:val="22"/>
          <w:szCs w:val="22"/>
        </w:rPr>
        <w:t xml:space="preserve">Connected components and entity count (4-connectivity labeling, &lt; 2 ms per state).</w:t>
      </w:r>
    </w:p>
    <w:p>
      <w:pPr>
        <w:pStyle w:val="ListParagraph"/>
        <w:numPr>
          <w:ilvl w:val="0"/>
          <w:numId w:val="2"/>
        </w:numPr>
        <w:spacing w:after="80" w:line="276"/>
      </w:pPr>
      <w:r>
        <w:rPr>
          <w:rFonts w:ascii="Calibri" w:cs="Calibri" w:eastAsia="SimSun" w:hAnsi="Calibri"/>
          <w:sz w:val="22"/>
          <w:szCs w:val="22"/>
        </w:rPr>
        <w:t xml:space="preserve">Entity bounding boxes and centroids (spatial registry for goal binding).</w:t>
      </w:r>
    </w:p>
    <w:p>
      <w:pPr>
        <w:pStyle w:val="ListParagraph"/>
        <w:numPr>
          <w:ilvl w:val="0"/>
          <w:numId w:val="2"/>
        </w:numPr>
        <w:spacing w:after="80" w:line="276"/>
      </w:pPr>
      <w:r>
        <w:rPr>
          <w:rFonts w:ascii="Calibri" w:cs="Calibri" w:eastAsia="SimSun" w:hAnsi="Calibri"/>
          <w:sz w:val="22"/>
          <w:szCs w:val="22"/>
        </w:rPr>
        <w:t xml:space="preserve">Frontier size and unvisited-cell reachability (BFS depth to nearest unvisited cell or target entity).</w:t>
      </w:r>
    </w:p>
    <w:p>
      <w:pPr>
        <w:pStyle w:val="ListParagraph"/>
        <w:numPr>
          <w:ilvl w:val="0"/>
          <w:numId w:val="2"/>
        </w:numPr>
        <w:spacing w:after="80" w:line="276"/>
      </w:pPr>
      <w:r>
        <w:rPr>
          <w:rFonts w:ascii="Calibri" w:cs="Calibri" w:eastAsia="SimSun" w:hAnsi="Calibri"/>
          <w:sz w:val="22"/>
          <w:szCs w:val="22"/>
        </w:rPr>
        <w:t xml:space="preserve">Collision and cycle predicates over candidate action sequences (pre-dispatch rejection tests).</w:t>
      </w:r>
    </w:p>
    <w:p>
      <w:pPr>
        <w:pStyle w:val="ListParagraph"/>
        <w:numPr>
          <w:ilvl w:val="0"/>
          <w:numId w:val="2"/>
        </w:numPr>
        <w:spacing w:after="80" w:line="276"/>
      </w:pPr>
      <w:r>
        <w:rPr>
          <w:rFonts w:ascii="Calibri" w:cs="Calibri" w:eastAsia="SimSun" w:hAnsi="Calibri"/>
          <w:sz w:val="22"/>
          <w:szCs w:val="22"/>
        </w:rPr>
        <w:t xml:space="preserve">Progress delta and entropy gain between consecutive observations (drives the +x / +y confidence rays).</w:t>
      </w:r>
    </w:p>
    <w:p>
      <w:pPr>
        <w:pStyle w:val="ListParagraph"/>
        <w:numPr>
          <w:ilvl w:val="0"/>
          <w:numId w:val="2"/>
        </w:numPr>
        <w:spacing w:after="80" w:line="276"/>
      </w:pPr>
      <w:r>
        <w:rPr>
          <w:rFonts w:ascii="Calibri" w:cs="Calibri" w:eastAsia="SimSun" w:hAnsi="Calibri"/>
          <w:sz w:val="22"/>
          <w:szCs w:val="22"/>
        </w:rPr>
        <w:t xml:space="preserve">Static topological anchors: background-color masks, boundary walls, key-door configurations (the lattice annotation set Omega).</w:t>
      </w:r>
    </w:p>
    <w:p>
      <w:pPr>
        <w:pStyle w:val="ListParagraph"/>
        <w:numPr>
          <w:ilvl w:val="0"/>
          <w:numId w:val="2"/>
        </w:numPr>
        <w:spacing w:after="80" w:line="276"/>
      </w:pPr>
      <w:r>
        <w:rPr>
          <w:rFonts w:ascii="Calibri" w:cs="Calibri" w:eastAsia="SimSun" w:hAnsi="Calibri"/>
          <w:sz w:val="22"/>
          <w:szCs w:val="22"/>
        </w:rPr>
        <w:t xml:space="preserve">Compiled macro library: sub-trajectories fused into reusable macros at sub-goal satisfaction (+z ray).</w:t>
      </w:r>
    </w:p>
    <w:p>
      <w:pPr>
        <w:pStyle w:val="Heading2"/>
        <w:spacing w:after="100" w:before="220"/>
      </w:pPr>
      <w:r>
        <w:rPr>
          <w:rFonts w:ascii="Calibri" w:cs="Calibri" w:eastAsia="SimSun" w:hAnsi="Calibri"/>
          <w:b/>
          <w:bCs/>
          <w:color w:val="37474F"/>
          <w:sz w:val="25"/>
          <w:szCs w:val="25"/>
        </w:rPr>
        <w:t xml:space="preserve">Selection, transformations, interactions, external data</w:t>
      </w:r>
    </w:p>
    <w:p>
      <w:pPr>
        <w:spacing w:after="140" w:line="276"/>
        <w:ind w:firstLine="431"/>
      </w:pPr>
      <w:r>
        <w:rPr>
          <w:rFonts w:ascii="Calibri" w:cs="Calibri" w:eastAsia="SimSun" w:hAnsi="Calibri"/>
          <w:sz w:val="22"/>
          <w:szCs w:val="22"/>
        </w:rPr>
        <w:t xml:space="preserve">Features were selected by the invariance structure of ARC-style tasks (translation and color invariance, object-centric composition), not by learned importance: the symbolic layer has no trainable weights. The only "transformation" is quantization of the neural component (AWQ W4A16, group size 128). The most useful interaction is progress-delta x collision-predicate: contradiction events are exactly where the barrier's contraction guarantee applies. No external data was used; the competition runs fully offline and all state comes from the environment observations.</w:t>
      </w:r>
    </w:p>
    <w:p>
      <w:pPr>
        <w:spacing w:after="140" w:line="276"/>
        <w:ind w:firstLine="431"/>
      </w:pPr>
      <w:r>
        <w:rPr>
          <w:rFonts w:ascii="Calibri" w:cs="Calibri" w:eastAsia="SimSun" w:hAnsi="Calibri"/>
          <w:sz w:val="22"/>
          <w:szCs w:val="22"/>
        </w:rPr>
        <w:t xml:space="preserve">Note: the per-level feature ablation figures (collision heatmaps, harmonic-integral decay curves) are produced automatically for every run and archived as Failure-Replay Digests; the 29 digests and the benchmark results file (benchmark_results.json) accompany this documentation as supporting artifacts.</w:t>
      </w:r>
    </w:p>
    <w:p>
      <w:pPr>
        <w:pStyle w:val="Heading1"/>
        <w:spacing w:after="140" w:before="320"/>
      </w:pPr>
      <w:r>
        <w:rPr>
          <w:rFonts w:ascii="Calibri" w:cs="Calibri" w:eastAsia="SimSun" w:hAnsi="Calibri"/>
          <w:b/>
          <w:bCs/>
          <w:color w:val="1F3038"/>
          <w:sz w:val="30"/>
          <w:szCs w:val="30"/>
        </w:rPr>
        <w:t xml:space="preserve">A5. Training Method(s)</w:t>
      </w:r>
    </w:p>
    <w:p>
      <w:pPr>
        <w:spacing w:after="140" w:line="276"/>
        <w:ind w:firstLine="431"/>
      </w:pPr>
      <w:r>
        <w:rPr>
          <w:rFonts w:ascii="Calibri" w:cs="Calibri" w:eastAsia="SimSun" w:hAnsi="Calibri"/>
          <w:sz w:val="22"/>
          <w:szCs w:val="22"/>
        </w:rPr>
        <w:t xml:space="preserve">No training happens inside the competition solution. The neural proposal engine is the Atlantis-Pyramid 14B (Glyph) line (RS-LoRA + NEFTune fine-tuning with preference optimization on Coralfil's ocean-reasoning corpus), adapter-merged and quantized post-training with AWQ (W4A16, group size 128, zero-point); the full INT4 weights ship with the submission as the attached Kaggle model coralfil/atlantis-pyramid-v2/Transformers/14b-awq-int4/2. The competition-time stack is inference-only (vLLM, paged KV cache, 64-beam sampling). The kernel can also run in a pure deterministic mode with no attached model, which eliminates external-model mount latency entirely.</w:t>
      </w:r>
    </w:p>
    <w:p>
      <w:pPr>
        <w:spacing w:after="140" w:line="276"/>
        <w:ind w:firstLine="431"/>
      </w:pPr>
      <w:r>
        <w:rPr>
          <w:rFonts w:ascii="Calibri" w:cs="Calibri" w:eastAsia="SimSun" w:hAnsi="Calibri"/>
          <w:sz w:val="22"/>
          <w:szCs w:val="22"/>
        </w:rPr>
        <w:t xml:space="preserve">We did not ensemble trained models. The only combination of models is the neuro-symbolic pairing: neural proposals are ranked by an epistemic confidence score updated by the six-ray lattice, and the deterministic planner (BFS frontier explorer; A* for gravity-routing environments) overrides the neural path only when the latency budget is exhausted (a fixed, confidence-gated weighting rather than a learned blend).</w:t>
      </w:r>
    </w:p>
    <w:p>
      <w:pPr>
        <w:pStyle w:val="Heading1"/>
        <w:spacing w:after="140" w:before="320"/>
      </w:pPr>
      <w:r>
        <w:rPr>
          <w:rFonts w:ascii="Calibri" w:cs="Calibri" w:eastAsia="SimSun" w:hAnsi="Calibri"/>
          <w:b/>
          <w:bCs/>
          <w:color w:val="1F3038"/>
          <w:sz w:val="30"/>
          <w:szCs w:val="30"/>
        </w:rPr>
        <w:t xml:space="preserve">A6. Interesting Findings</w:t>
      </w:r>
    </w:p>
    <w:p>
      <w:pPr>
        <w:pStyle w:val="ListParagraph"/>
        <w:numPr>
          <w:ilvl w:val="0"/>
          <w:numId w:val="2"/>
        </w:numPr>
        <w:spacing w:after="80" w:line="276"/>
      </w:pPr>
      <w:r>
        <w:rPr>
          <w:rFonts w:ascii="Calibri" w:cs="Calibri" w:eastAsia="SimSun" w:hAnsi="Calibri"/>
          <w:b/>
          <w:bCs/>
          <w:sz w:val="22"/>
          <w:szCs w:val="22"/>
        </w:rPr>
        <w:t xml:space="preserve">Most important trick: verification before dispatch. </w:t>
      </w:r>
      <w:r>
        <w:rPr>
          <w:rFonts w:ascii="Calibri" w:cs="Calibri" w:eastAsia="SimSun" w:hAnsi="Calibri"/>
          <w:sz w:val="22"/>
          <w:szCs w:val="22"/>
        </w:rPr>
        <w:t xml:space="preserve">Rejecting plans predicted to collide or cycle before they touch the environment: removed the two dominant failure modes (monotonic hypothesis drift and cyclic entrapment) without any additional training.</w:t>
      </w:r>
    </w:p>
    <w:p>
      <w:pPr>
        <w:pStyle w:val="ListParagraph"/>
        <w:numPr>
          <w:ilvl w:val="0"/>
          <w:numId w:val="2"/>
        </w:numPr>
        <w:spacing w:after="80" w:line="276"/>
      </w:pPr>
      <w:r>
        <w:rPr>
          <w:rFonts w:ascii="Calibri" w:cs="Calibri" w:eastAsia="SimSun" w:hAnsi="Calibri"/>
          <w:b/>
          <w:bCs/>
          <w:sz w:val="22"/>
          <w:szCs w:val="22"/>
        </w:rPr>
        <w:t xml:space="preserve">What set the solution apart: a proof, not a heuristic. </w:t>
      </w:r>
      <w:r>
        <w:rPr>
          <w:rFonts w:ascii="Calibri" w:cs="Calibri" w:eastAsia="SimSun" w:hAnsi="Calibri"/>
          <w:sz w:val="22"/>
          <w:szCs w:val="22"/>
        </w:rPr>
        <w:t xml:space="preserve">The Polyphonic Cadence Barrier makes the epistemic update a strict contraction (constant kappa = max(1-beta, 1-delta) &lt; 1 on the hypothesis metric space), so termination is guaranteed by the Banach fixed-point theorem rather than tuned empirically.</w:t>
      </w:r>
    </w:p>
    <w:p>
      <w:pPr>
        <w:pStyle w:val="ListParagraph"/>
        <w:numPr>
          <w:ilvl w:val="0"/>
          <w:numId w:val="2"/>
        </w:numPr>
        <w:spacing w:after="80" w:line="276"/>
      </w:pPr>
      <w:r>
        <w:rPr>
          <w:rFonts w:ascii="Calibri" w:cs="Calibri" w:eastAsia="SimSun" w:hAnsi="Calibri"/>
          <w:sz w:val="22"/>
          <w:szCs w:val="22"/>
        </w:rPr>
        <w:t xml:space="preserve">Honest relationship worth noting: on the three published challenge games, the deterministic planners carried the measured results </w:t>
      </w:r>
      <w:r>
        <w:rPr>
          <w:rFonts w:ascii="Calibri" w:cs="Calibri" w:eastAsia="SimSun" w:hAnsi="Calibri"/>
          <w:i/>
          <w:iCs/>
          <w:sz w:val="22"/>
          <w:szCs w:val="22"/>
        </w:rPr>
        <w:t xml:space="preserve">(ls20 cleared by the state-space planner in 309 steps; vc33 by heuristic A* in 169 actions; wa30 across 625 moves)</w:t>
      </w:r>
      <w:r>
        <w:rPr>
          <w:rFonts w:ascii="Calibri" w:cs="Calibri" w:eastAsia="SimSun" w:hAnsi="Calibri"/>
          <w:sz w:val="22"/>
          <w:szCs w:val="22"/>
        </w:rPr>
        <w:t xml:space="preserve">. The 14B model's contribution is hypothesis diversity and macro synthesis for unseen task structures; we do not claim the published numbers demonstrate LLM-driven superiority over the symbolic core.</w:t>
      </w:r>
    </w:p>
    <w:p>
      <w:pPr>
        <w:pStyle w:val="ListParagraph"/>
        <w:numPr>
          <w:ilvl w:val="0"/>
          <w:numId w:val="2"/>
        </w:numPr>
        <w:spacing w:after="80" w:line="276"/>
      </w:pPr>
      <w:r>
        <w:rPr>
          <w:rFonts w:ascii="Calibri" w:cs="Calibri" w:eastAsia="SimSun" w:hAnsi="Calibri"/>
          <w:b/>
          <w:bCs/>
          <w:sz w:val="22"/>
          <w:szCs w:val="22"/>
        </w:rPr>
        <w:t xml:space="preserve">Failure-replay instrumentation changed the outcome: </w:t>
      </w:r>
      <w:r>
        <w:rPr>
          <w:rFonts w:ascii="Calibri" w:cs="Calibri" w:eastAsia="SimSun" w:hAnsi="Calibri"/>
          <w:sz w:val="22"/>
          <w:szCs w:val="22"/>
        </w:rPr>
        <w:t xml:space="preserve">trajectory autopsies and harmonic-integral decay curves from early runs exposed that unconstrained reflection loops, not model capacity, were the bottleneck. This motivated the contraction guarantee. Roughly a quarter of the total project time (around 45 of 180 hours) went into this failure-replay triage loop.</w:t>
      </w:r>
    </w:p>
    <w:p>
      <w:pPr>
        <w:pStyle w:val="ListParagraph"/>
        <w:numPr>
          <w:ilvl w:val="0"/>
          <w:numId w:val="2"/>
        </w:numPr>
        <w:spacing w:after="80" w:line="276"/>
      </w:pPr>
      <w:r>
        <w:rPr>
          <w:rFonts w:ascii="Calibri" w:cs="Calibri" w:eastAsia="SimSun" w:hAnsi="Calibri"/>
          <w:b/>
          <w:bCs/>
          <w:sz w:val="22"/>
          <w:szCs w:val="22"/>
        </w:rPr>
        <w:t xml:space="preserve">Deployment finding: </w:t>
      </w:r>
      <w:r>
        <w:rPr>
          <w:rFonts w:ascii="Calibri" w:cs="Calibri" w:eastAsia="SimSun" w:hAnsi="Calibri"/>
          <w:sz w:val="22"/>
          <w:szCs w:val="22"/>
        </w:rPr>
        <w:t xml:space="preserve">running the agent in pure deterministic mode (no attached model, empty model_sources) removes Kaggle's external-model mounting overhead completely; the measured 23-level suite below ran in the sub-second regime.</w:t>
      </w:r>
    </w:p>
    <w:p>
      <w:pPr>
        <w:pStyle w:val="Heading1"/>
        <w:spacing w:after="140" w:before="320"/>
      </w:pPr>
      <w:r>
        <w:rPr>
          <w:rFonts w:ascii="Calibri" w:cs="Calibri" w:eastAsia="SimSun" w:hAnsi="Calibri"/>
          <w:b/>
          <w:bCs/>
          <w:color w:val="1F3038"/>
          <w:sz w:val="30"/>
          <w:szCs w:val="30"/>
        </w:rPr>
        <w:t xml:space="preserve">A7. Simple Features and Methods</w:t>
      </w:r>
    </w:p>
    <w:p>
      <w:pPr>
        <w:spacing w:after="140" w:line="276"/>
        <w:ind w:firstLine="431"/>
      </w:pPr>
      <w:r>
        <w:rPr>
          <w:rFonts w:ascii="Calibri" w:cs="Calibri" w:eastAsia="SimSun" w:hAnsi="Calibri"/>
          <w:sz w:val="22"/>
          <w:szCs w:val="22"/>
        </w:rPr>
        <w:t xml:space="preserve">Yes: a simple variant exists and it is close to the full system. The symbolic core alone uses fewer than ten deterministic features (grid connectivity, entity count, frontier size, BFS depth, collision predicate, cycle predicate, progress delta, entropy gain, anchor set size) and one method (best-first search: BFS frontier exploration with A* heuristics), with no neural component at all.</w:t>
      </w:r>
    </w:p>
    <w:p>
      <w:pPr>
        <w:spacing w:after="140" w:line="276"/>
        <w:ind w:firstLine="431"/>
      </w:pPr>
      <w:r>
        <w:rPr>
          <w:rFonts w:ascii="Calibri" w:cs="Calibri" w:eastAsia="SimSun" w:hAnsi="Calibri"/>
          <w:sz w:val="22"/>
          <w:szCs w:val="22"/>
        </w:rPr>
        <w:t xml:space="preserve">The simplified model clears the same 23/23 published levels (it is the configuration that produced the ls20/vc33/wa30 numbers above). The 14B proposal layer is therefore an invest-in-generalization component: it is where we expect the advantage on unpublished task structures, and the verification lattice ensures its hypotheses cannot degrade safety below the symbolic floor.</w:t>
      </w:r>
    </w:p>
    <w:p>
      <w:pPr>
        <w:pStyle w:val="Heading1"/>
        <w:spacing w:after="140" w:before="320"/>
      </w:pPr>
      <w:r>
        <w:rPr>
          <w:rFonts w:ascii="Calibri" w:cs="Calibri" w:eastAsia="SimSun" w:hAnsi="Calibri"/>
          <w:b/>
          <w:bCs/>
          <w:color w:val="1F3038"/>
          <w:sz w:val="30"/>
          <w:szCs w:val="30"/>
        </w:rPr>
        <w:t xml:space="preserve">A8. Model Execution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EEF3F6" w:val="clear"/>
            <w:tcMar>
              <w:top w:type="dxa" w:w="100"/>
              <w:left w:type="dxa" w:w="120"/>
              <w:bottom w:type="dxa" w:w="100"/>
              <w:right w:type="dxa" w:w="120"/>
            </w:tcMar>
          </w:tcPr>
          <w:p>
            <w:pPr>
              <w:spacing w:after="140" w:line="276"/>
            </w:pPr>
            <w:r>
              <w:rPr>
                <w:rFonts w:ascii="Calibri" w:cs="Calibri" w:eastAsia="SimSun" w:hAnsi="Calibri"/>
                <w:sz w:val="21"/>
                <w:szCs w:val="21"/>
              </w:rPr>
              <w:t xml:space="preserve">Item</w:t>
            </w:r>
          </w:p>
        </w:tc>
        <w:tc>
          <w:tcPr>
            <w:tcW w:type="dxa" w:w="4800"/>
            <w:shd w:fill="EEF3F6" w:val="clear"/>
            <w:tcMar>
              <w:top w:type="dxa" w:w="100"/>
              <w:left w:type="dxa" w:w="120"/>
              <w:bottom w:type="dxa" w:w="100"/>
              <w:right w:type="dxa" w:w="120"/>
            </w:tcMar>
          </w:tcPr>
          <w:p>
            <w:pPr>
              <w:spacing w:after="140" w:line="276"/>
            </w:pPr>
            <w:r>
              <w:rPr>
                <w:rFonts w:ascii="Calibri" w:cs="Calibri" w:eastAsia="SimSun" w:hAnsi="Calibri"/>
                <w:sz w:val="21"/>
                <w:szCs w:val="21"/>
              </w:rPr>
              <w:t xml:space="preserve">Time</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Train the competition model</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No in-competition training (0 h). Neural component fine-tuned pre-competition; see A5.</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Per-step spatial decomposition</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&lt; 1.8 ms (4-connectivity connected-component labeling, measured)</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ls20 (7 levels, 309 steps)</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0.617 s total (mean 88.1 ms/level, 500.8 steps/s), 500.8 steps/s</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vc33 (7 levels, 169 steps)</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0.279 s total (mean 39.9 ms/level, 605.7 steps/s), 605.7 steps/s</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wa30 (9 levels, 625 steps)</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0.456 s total (mean 50.7 ms/level, 1,370.6 steps/s), 1,370.6 steps/s</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Combined 23-level suite (3 published games)</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1.352 s total (mean 58.8 ms/level, 815.8 steps/s, 1,103 actions), 815.8 steps/s (1,103 actions)</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Additional key environments</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sb26 0.310 s (8 levels) · sc25 0.134 s (6) · ft09 0.065 s (6) · tu93 0.228 s (9)</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Full 25-game suite</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183 levels cleared, 6,863 steps: 33.06 s total (mean 180.7 ms/level, 207.6 steps/s), 207.6 steps/s</w:t>
            </w:r>
          </w:p>
        </w:tc>
      </w:tr>
      <w:tr>
        <w:tc>
          <w:tcPr>
            <w:tcW w:type="dxa" w:w="4200"/>
            <w:tcMar>
              <w:top w:type="dxa" w:w="100"/>
              <w:left w:type="dxa" w:w="120"/>
              <w:bottom w:type="dxa" w:w="100"/>
              <w:right w:type="dxa" w:w="120"/>
            </w:tcMar>
          </w:tcPr>
          <w:p>
            <w:pPr>
              <w:spacing w:after="140" w:line="276"/>
            </w:pPr>
            <w:r>
              <w:rPr>
                <w:rFonts w:ascii="Calibri" w:cs="Calibri" w:eastAsia="SimSun" w:hAnsi="Calibri"/>
                <w:sz w:val="21"/>
                <w:szCs w:val="21"/>
              </w:rPr>
              <w:t xml:space="preserve">Simplified model (symbolic only)</w:t>
            </w:r>
          </w:p>
        </w:tc>
        <w:tc>
          <w:tcPr>
            <w:tcW w:type="dxa" w:w="4800"/>
            <w:tcMar>
              <w:top w:type="dxa" w:w="100"/>
              <w:left w:type="dxa" w:w="120"/>
              <w:bottom w:type="dxa" w:w="100"/>
              <w:right w:type="dxa" w:w="120"/>
            </w:tcMar>
          </w:tcPr>
          <w:p>
            <w:pPr>
              <w:spacing w:after="140" w:line="276"/>
            </w:pPr>
            <w:r>
              <w:rPr>
                <w:rFonts w:ascii="Calibri" w:cs="Calibri" w:eastAsia="SimSun" w:hAnsi="Calibri"/>
                <w:sz w:val="21"/>
                <w:szCs w:val="21"/>
              </w:rPr>
              <w:t xml:space="preserve">No training; planning in the millisecond-per-action regime (see rows above)</w:t>
            </w:r>
          </w:p>
        </w:tc>
      </w:tr>
    </w:tbl>
    <w:p>
      <w:pPr>
        <w:spacing w:after="140" w:line="276"/>
        <w:ind w:firstLine="431"/>
      </w:pPr>
      <w:r>
        <w:rPr>
          <w:rFonts w:ascii="Calibri" w:cs="Calibri" w:eastAsia="SimSun" w:hAnsi="Calibri"/>
          <w:sz w:val="22"/>
          <w:szCs w:val="22"/>
        </w:rPr>
        <w:t xml:space="preserve">All timing figures above are measured wall-clock from the 29 Failure-Replay Digests and benchmark_results.json, recorded in the offline competition-identical environment; the run logs with per-step timestamps accompany this documentation.</w:t>
      </w:r>
    </w:p>
    <w:p>
      <w:pPr>
        <w:pStyle w:val="Heading1"/>
        <w:spacing w:after="140" w:before="320"/>
      </w:pPr>
      <w:r>
        <w:rPr>
          <w:rFonts w:ascii="Calibri" w:cs="Calibri" w:eastAsia="SimSun" w:hAnsi="Calibri"/>
          <w:b/>
          <w:bCs/>
          <w:color w:val="1F3038"/>
          <w:sz w:val="30"/>
          <w:szCs w:val="30"/>
        </w:rPr>
        <w:t xml:space="preserve">A9. References</w:t>
      </w:r>
    </w:p>
    <w:p>
      <w:pPr>
        <w:spacing w:after="80"/>
      </w:pPr>
      <w:r>
        <w:rPr>
          <w:rFonts w:ascii="Calibri" w:cs="Calibri" w:eastAsia="SimSun" w:hAnsi="Calibri"/>
          <w:sz w:val="22"/>
          <w:szCs w:val="22"/>
        </w:rPr>
        <w:t xml:space="preserve">François Chollet, "On the Measure of Intelligence", 2019.</w:t>
      </w:r>
      <w:r>
        <w:rPr>
          <w:rStyle w:val="FootnoteReference"/>
        </w:rPr>
        <w:footnoteReference w:id="1"/>
      </w:r>
    </w:p>
    <w:p>
      <w:pPr>
        <w:spacing w:after="80"/>
      </w:pPr>
      <w:r>
        <w:rPr>
          <w:rFonts w:ascii="Calibri" w:cs="Calibri" w:eastAsia="SimSun" w:hAnsi="Calibri"/>
          <w:sz w:val="22"/>
          <w:szCs w:val="22"/>
        </w:rPr>
        <w:t xml:space="preserve">J. Aizenberg et al., "Skeleton of Euplectella sp.: Structural Hierarchy from the Nanoscale to the Macroscale", Science, 2005.</w:t>
      </w:r>
      <w:r>
        <w:rPr>
          <w:rStyle w:val="FootnoteReference"/>
        </w:rPr>
        <w:footnoteReference w:id="2"/>
      </w:r>
    </w:p>
    <w:p>
      <w:pPr>
        <w:spacing w:after="80"/>
      </w:pPr>
      <w:r>
        <w:rPr>
          <w:rFonts w:ascii="Calibri" w:cs="Calibri" w:eastAsia="SimSun" w:hAnsi="Calibri"/>
          <w:sz w:val="22"/>
          <w:szCs w:val="22"/>
        </w:rPr>
        <w:t xml:space="preserve">S. Banach, "Sur les opérations dans les ensembles abstraits et leur application aux équations intégrales", Fundamenta Mathematicae 3, 1922.</w:t>
      </w:r>
      <w:r>
        <w:rPr>
          <w:rStyle w:val="FootnoteReference"/>
        </w:rPr>
        <w:footnoteReference w:id="3"/>
      </w:r>
    </w:p>
    <w:p>
      <w:pPr>
        <w:spacing w:after="80"/>
      </w:pPr>
      <w:r>
        <w:rPr>
          <w:rFonts w:ascii="Calibri" w:cs="Calibri" w:eastAsia="SimSun" w:hAnsi="Calibri"/>
          <w:sz w:val="22"/>
          <w:szCs w:val="22"/>
        </w:rPr>
        <w:t xml:space="preserve">J. Lin et al., "AWQ: Activation-aware Weight Quantization for LLM Compression and Acceleration", MLSys 2024.</w:t>
      </w:r>
      <w:r>
        <w:rPr>
          <w:rStyle w:val="FootnoteReference"/>
        </w:rPr>
        <w:footnoteReference w:id="4"/>
      </w:r>
    </w:p>
    <w:p>
      <w:pPr>
        <w:spacing w:after="80"/>
      </w:pPr>
      <w:r>
        <w:rPr>
          <w:rFonts w:ascii="Calibri" w:cs="Calibri" w:eastAsia="SimSun" w:hAnsi="Calibri"/>
          <w:sz w:val="22"/>
          <w:szCs w:val="22"/>
        </w:rPr>
        <w:t xml:space="preserve">W. Kwon et al., "Efficient Memory Management for Large Language Model Serving with PagedAttention (vLLM)", SOSP 2023.</w:t>
      </w:r>
      <w:r>
        <w:rPr>
          <w:rStyle w:val="FootnoteReference"/>
        </w:rPr>
        <w:footnoteReference w:id="5"/>
      </w:r>
    </w:p>
    <w:p>
      <w:pPr>
        <w:spacing w:after="80"/>
      </w:pPr>
      <w:r>
        <w:rPr>
          <w:rFonts w:ascii="Calibri" w:cs="Calibri" w:eastAsia="SimSun" w:hAnsi="Calibri"/>
          <w:sz w:val="22"/>
          <w:szCs w:val="22"/>
        </w:rPr>
        <w:t xml:space="preserve">ARC Prize 2026 / ARC-AGI-3 competition and rules, Kaggle.</w:t>
      </w:r>
      <w:r>
        <w:rPr>
          <w:rStyle w:val="FootnoteReference"/>
        </w:rPr>
        <w:footnoteReference w:id="6"/>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40" w:line="276"/>
      <w:jc w:val="center"/>
    </w:pPr>
    <w:r>
      <w:rPr>
        <w:rFonts w:ascii="Calibri" w:cs="Calibri" w:eastAsia="SimSun"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40" w:line="276"/>
      </w:pPr>
      <w:r>
        <w:rPr>
          <w:rStyle w:val="FootnoteReference"/>
        </w:rPr>
        <w:footnoteRef/>
      </w:r>
      <w:r>
        <w:rPr>
          <w:rFonts w:ascii="Calibri" w:cs="Calibri" w:eastAsia="SimSun" w:hAnsi="Calibri"/>
          <w:sz w:val="22"/>
          <w:szCs w:val="22"/>
        </w:rPr>
        <w:t xml:space="preserve">arXiv:1911.01547 (https://arxiv.org/abs/1911.01547)</w:t>
      </w:r>
    </w:p>
  </w:footnote>
  <w:footnote w:id="2">
    <w:p>
      <w:pPr>
        <w:spacing w:after="140" w:line="276"/>
      </w:pPr>
      <w:r>
        <w:rPr>
          <w:rStyle w:val="FootnoteReference"/>
        </w:rPr>
        <w:footnoteRef/>
      </w:r>
      <w:r>
        <w:rPr>
          <w:rFonts w:ascii="Calibri" w:cs="Calibri" w:eastAsia="SimSun" w:hAnsi="Calibri"/>
          <w:sz w:val="22"/>
          <w:szCs w:val="22"/>
        </w:rPr>
        <w:t xml:space="preserve">Science 309 (5732): 275-278, 2005 (https://www.science.org/doi/10.1126/science.1112251)</w:t>
      </w:r>
    </w:p>
  </w:footnote>
  <w:footnote w:id="3">
    <w:p>
      <w:pPr>
        <w:spacing w:after="140" w:line="276"/>
      </w:pPr>
      <w:r>
        <w:rPr>
          <w:rStyle w:val="FootnoteReference"/>
        </w:rPr>
        <w:footnoteRef/>
      </w:r>
      <w:r>
        <w:rPr>
          <w:rFonts w:ascii="Calibri" w:cs="Calibri" w:eastAsia="SimSun" w:hAnsi="Calibri"/>
          <w:sz w:val="22"/>
          <w:szCs w:val="22"/>
        </w:rPr>
        <w:t xml:space="preserve">Fund. Math. 3: 133-181, 1922.</w:t>
      </w:r>
    </w:p>
  </w:footnote>
  <w:footnote w:id="4">
    <w:p>
      <w:pPr>
        <w:spacing w:after="140" w:line="276"/>
      </w:pPr>
      <w:r>
        <w:rPr>
          <w:rStyle w:val="FootnoteReference"/>
        </w:rPr>
        <w:footnoteRef/>
      </w:r>
      <w:r>
        <w:rPr>
          <w:rFonts w:ascii="Calibri" w:cs="Calibri" w:eastAsia="SimSun" w:hAnsi="Calibri"/>
          <w:sz w:val="22"/>
          <w:szCs w:val="22"/>
        </w:rPr>
        <w:t xml:space="preserve">arXiv:2306.00978 (https://arxiv.org/abs/2306.00978)</w:t>
      </w:r>
    </w:p>
  </w:footnote>
  <w:footnote w:id="5">
    <w:p>
      <w:pPr>
        <w:spacing w:after="140" w:line="276"/>
      </w:pPr>
      <w:r>
        <w:rPr>
          <w:rStyle w:val="FootnoteReference"/>
        </w:rPr>
        <w:footnoteRef/>
      </w:r>
      <w:r>
        <w:rPr>
          <w:rFonts w:ascii="Calibri" w:cs="Calibri" w:eastAsia="SimSun" w:hAnsi="Calibri"/>
          <w:sz w:val="22"/>
          <w:szCs w:val="22"/>
        </w:rPr>
        <w:t xml:space="preserve">SOSP '23 (https://dl.acm.org/doi/10.1145/3600006.3613165)</w:t>
      </w:r>
    </w:p>
  </w:footnote>
  <w:footnote w:id="6">
    <w:p>
      <w:pPr>
        <w:spacing w:after="140" w:line="276"/>
      </w:pPr>
      <w:r>
        <w:rPr>
          <w:rStyle w:val="FootnoteReference"/>
        </w:rPr>
        <w:footnoteRef/>
      </w:r>
      <w:r>
        <w:rPr>
          <w:rFonts w:ascii="Calibri" w:cs="Calibri" w:eastAsia="SimSun" w:hAnsi="Calibri"/>
          <w:sz w:val="22"/>
          <w:szCs w:val="22"/>
        </w:rPr>
        <w:t xml:space="preserve">https://www.kaggle.com/competitions/arc-prize-2026-arc-agi-3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40" w:line="276"/>
      <w:jc w:val="center"/>
    </w:pPr>
    <w:r>
      <w:rPr>
        <w:rFonts w:ascii="Calibri" w:cs="Calibri" w:eastAsia="SimSun" w:hAnsi="Calibri"/>
        <w:color w:val="78909C"/>
        <w:sz w:val="18"/>
        <w:szCs w:val="18"/>
      </w:rPr>
      <w:t xml:space="preserve">ARC-AGI-3 Competition Documentation: Coralfil AI Research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SimSun"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Prize 2026 (ARC-AGI-3): Competition Documentation</dc:title>
  <dc:creator>Coralfil AI Research Group</dc:creator>
  <cp:lastModifiedBy>Un-named</cp:lastModifiedBy>
  <cp:revision>1</cp:revision>
  <dcterms:created xsi:type="dcterms:W3CDTF">2026-10-28T10:22:17.492Z</dcterms:created>
  <dcterms:modified xsi:type="dcterms:W3CDTF">2026-10-28T10:22:17.492Z</dcterms:modified>
</cp:coreProperties>
</file>

<file path=docProps/custom.xml><?xml version="1.0" encoding="utf-8"?>
<Properties xmlns="http://schemas.openxmlformats.org/officeDocument/2006/custom-properties" xmlns:vt="http://schemas.openxmlformats.org/officeDocument/2006/docPropsVTypes"/>
</file>