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(Даъвогар/Жавобгар):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Даъвогар/Жавобгар: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(Суд ҳужжати ижросини кечиктириш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{{opposite_party_fio}} билан тузилган {{case_subject}} бўйича суд қарори чиқарилган.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 қарорини кечиктириш учун асос қилиб кўрсатаётган сабаблар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суд қарорининг ижросини {{postpone_period}} муддатга кечиктириб туришингизни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Кечиктириш учун асос ҳужжатлар;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Аризачи паспорт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2026-05-26T05:58:47.132Z</dcterms:created>
  <dcterms:modified xsi:type="dcterms:W3CDTF">2026-05-26T05:58:47.132Z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