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(давлат органи ҳаракатлари оқибатида етказилган зарарни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ноқонуний ҳаракатлар натижасида менга жами {{harm_amount}} сўм миқдорида зарар етказилди.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Ҳолатлар ва қонуний асос: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Фуқаролик кодексининг 990-моддаси ва маъмурий суд ишларини юритиш тўғрисидаги кодексининг 27-моддасига асосан жавобгар {{defendant_org_name}}дан менинг фойдамга {{harm_amount}} сўм миқдорида зарарни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2026-05-26T07:09:56.386Z</dcterms:created>
  <dcterms:modified xsi:type="dcterms:W3CDTF">2026-05-26T07:09:56.386Z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