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9D5A6" w14:textId="7333FD37" w:rsidR="003811A2" w:rsidRDefault="00175EE0" w:rsidP="006B330E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Trajectory</w:t>
      </w:r>
      <w:r w:rsidR="006F2C4A">
        <w:rPr>
          <w:b/>
          <w:bCs/>
          <w:sz w:val="28"/>
          <w:szCs w:val="28"/>
        </w:rPr>
        <w:t xml:space="preserve"> of Information Entropy During Peptide Folding</w:t>
      </w:r>
    </w:p>
    <w:p w14:paraId="212330E1" w14:textId="088DD8E2" w:rsidR="007D0B9C" w:rsidRPr="004D49B4" w:rsidRDefault="004514DD" w:rsidP="004D49B4">
      <w:pPr>
        <w:spacing w:line="480" w:lineRule="auto"/>
        <w:jc w:val="center"/>
      </w:pPr>
      <w:r>
        <w:t>Mehmet Sarikaya</w:t>
      </w:r>
      <w:r w:rsidR="0006244C">
        <w:rPr>
          <w:vertAlign w:val="superscript"/>
        </w:rPr>
        <w:t>1,5,6,7,8</w:t>
      </w:r>
      <w:r>
        <w:t>, Siddharth Rath</w:t>
      </w:r>
      <w:r w:rsidR="00F75BFE">
        <w:rPr>
          <w:vertAlign w:val="superscript"/>
        </w:rPr>
        <w:t>1,5,6</w:t>
      </w:r>
      <w:r>
        <w:t xml:space="preserve">, </w:t>
      </w:r>
      <w:r w:rsidR="00D17ECC">
        <w:t>Tatum Hennig</w:t>
      </w:r>
      <w:r w:rsidR="00D5551E">
        <w:rPr>
          <w:vertAlign w:val="superscript"/>
        </w:rPr>
        <w:t>1,3,4</w:t>
      </w:r>
      <w:r w:rsidR="00D17ECC">
        <w:t>,</w:t>
      </w:r>
      <w:r w:rsidR="009D5566">
        <w:t xml:space="preserve"> David Corbo</w:t>
      </w:r>
      <w:r w:rsidR="0083770D">
        <w:rPr>
          <w:rStyle w:val="FootnoteReference"/>
        </w:rPr>
        <w:footnoteReference w:id="1"/>
      </w:r>
      <w:r w:rsidR="0083770D">
        <w:rPr>
          <w:vertAlign w:val="superscript"/>
        </w:rPr>
        <w:t>,</w:t>
      </w:r>
      <w:r w:rsidR="0083770D">
        <w:rPr>
          <w:rStyle w:val="FootnoteReference"/>
        </w:rPr>
        <w:footnoteReference w:id="2"/>
      </w:r>
    </w:p>
    <w:p w14:paraId="161B6564" w14:textId="0A7BC799" w:rsidR="00D248A8" w:rsidRDefault="00D248A8" w:rsidP="006B330E">
      <w:pPr>
        <w:spacing w:line="480" w:lineRule="auto"/>
        <w:rPr>
          <w:b/>
          <w:bCs/>
        </w:rPr>
      </w:pPr>
      <w:r>
        <w:rPr>
          <w:b/>
          <w:bCs/>
        </w:rPr>
        <w:t>Abstract</w:t>
      </w:r>
    </w:p>
    <w:p w14:paraId="05AAAEB4" w14:textId="250D77C3" w:rsidR="004D49B4" w:rsidRDefault="00E5350D" w:rsidP="006B330E">
      <w:pPr>
        <w:spacing w:line="480" w:lineRule="auto"/>
      </w:pPr>
      <w:r>
        <w:t xml:space="preserve">Some peptides are known to form stable secondary structures due to their occupation of lower energy states. These folded peptides theoretically have a greater information entropy upon folding, but this has not been experimentally proven. </w:t>
      </w:r>
      <w:r w:rsidR="00CC08A5">
        <w:t xml:space="preserve">One such peptide, </w:t>
      </w:r>
      <w:r w:rsidR="00371E58">
        <w:t>LK14</w:t>
      </w:r>
      <w:r w:rsidR="00CC08A5">
        <w:t>, which reliably folds into an α-helix at an interface</w:t>
      </w:r>
      <w:r w:rsidR="006B330E">
        <w:t xml:space="preserve">, is used as a case study here to </w:t>
      </w:r>
      <w:r w:rsidR="00E40575">
        <w:t xml:space="preserve">prove that uncertainty in electron energy values increases upon formation of stable secondary structures. </w:t>
      </w:r>
      <w:r w:rsidR="006349D7">
        <w:t xml:space="preserve">Using </w:t>
      </w:r>
      <w:r w:rsidR="00F916E5">
        <w:t xml:space="preserve">Python and the SciPy ecosystem we create atom adjacency matrices of each frame of the trajectory and weight these matrices by the atoms’ respective counts of valence electrons. </w:t>
      </w:r>
      <w:r w:rsidR="000472CA">
        <w:t>Performing an elementwise</w:t>
      </w:r>
      <w:r w:rsidR="002A3358">
        <w:t xml:space="preserve"> multiplication of these matrices with</w:t>
      </w:r>
      <w:r w:rsidR="00196711">
        <w:t xml:space="preserve"> </w:t>
      </w:r>
      <w:r w:rsidR="009C7FAB">
        <w:t xml:space="preserve">normal random </w:t>
      </w:r>
      <w:r w:rsidR="00852035">
        <w:t xml:space="preserve">Hermitian </w:t>
      </w:r>
      <w:r w:rsidR="009C7FAB">
        <w:t xml:space="preserve">matrices yields the Hamiltonian. </w:t>
      </w:r>
      <w:r w:rsidR="00375F43">
        <w:t>Analyzing the eigenvalue</w:t>
      </w:r>
      <w:r w:rsidR="0056779E">
        <w:t>s</w:t>
      </w:r>
      <w:r w:rsidR="00375F43">
        <w:t xml:space="preserve"> of this matrix shows that </w:t>
      </w:r>
      <w:r w:rsidR="006377C6">
        <w:t xml:space="preserve">the α-helical form of the peptide </w:t>
      </w:r>
      <w:r w:rsidR="000D4FBD">
        <w:t>grows closer to the Wigner semicircle distribution</w:t>
      </w:r>
      <w:r w:rsidR="00FB2D77">
        <w:t xml:space="preserve">. This signals that the </w:t>
      </w:r>
      <w:r w:rsidR="0058262B">
        <w:t xml:space="preserve">folded peptide has reached a state of greater </w:t>
      </w:r>
      <w:r w:rsidR="00CA4B14">
        <w:t>information entropy.</w:t>
      </w:r>
    </w:p>
    <w:p w14:paraId="7AAFA8AA" w14:textId="0A01DAF1" w:rsidR="00CA4B14" w:rsidRDefault="007D0FCC" w:rsidP="007D0FCC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Introduction and Background</w:t>
      </w:r>
    </w:p>
    <w:p w14:paraId="3A681F81" w14:textId="769459C0" w:rsidR="00625A8F" w:rsidRDefault="00675B76" w:rsidP="007D0FCC">
      <w:pPr>
        <w:spacing w:line="480" w:lineRule="auto"/>
      </w:pPr>
      <w:r>
        <w:t xml:space="preserve">It is well established in the literature that </w:t>
      </w:r>
      <w:r w:rsidR="00371E58">
        <w:t>LK14</w:t>
      </w:r>
      <w:r w:rsidR="004015CB">
        <w:t xml:space="preserve"> folds into an α-helix when at an interface. </w:t>
      </w:r>
      <w:r w:rsidR="00B536B4">
        <w:t xml:space="preserve">The statistical </w:t>
      </w:r>
      <w:r w:rsidR="00F954A5">
        <w:t>behavior of the eigenvalue</w:t>
      </w:r>
      <w:r w:rsidR="000D5D5D">
        <w:t>s</w:t>
      </w:r>
      <w:r w:rsidR="00F954A5">
        <w:t xml:space="preserve"> of random matrices is also well established</w:t>
      </w:r>
      <w:r w:rsidR="007E1432">
        <w:t xml:space="preserve">. </w:t>
      </w:r>
      <w:r w:rsidR="002B1211">
        <w:t xml:space="preserve">The </w:t>
      </w:r>
      <w:r w:rsidR="000B389D">
        <w:t xml:space="preserve">electronic </w:t>
      </w:r>
      <w:r w:rsidR="000D5D5D">
        <w:t>consequences</w:t>
      </w:r>
      <w:r w:rsidR="000B389D">
        <w:t xml:space="preserve"> of peptides folding, however, is not as well established</w:t>
      </w:r>
      <w:r w:rsidR="00AB39C9">
        <w:t xml:space="preserve">. With the ultimate goal of </w:t>
      </w:r>
      <w:r w:rsidR="00AB39C9">
        <w:lastRenderedPageBreak/>
        <w:t xml:space="preserve">creating </w:t>
      </w:r>
      <w:r w:rsidR="00EB2892">
        <w:t xml:space="preserve">a hyperparameter for a physics-informed AI that will have the ability to both predict peptide function from sequence as well as peptide function from structure, </w:t>
      </w:r>
      <w:r w:rsidR="00A31002">
        <w:t>a better understanding of the</w:t>
      </w:r>
      <w:r w:rsidR="002F48AD">
        <w:t xml:space="preserve">se consequences </w:t>
      </w:r>
      <w:r w:rsidR="00A63933">
        <w:t xml:space="preserve">is required. </w:t>
      </w:r>
      <w:r w:rsidR="009717B7">
        <w:t>Two</w:t>
      </w:r>
      <w:r w:rsidR="002B085F">
        <w:t xml:space="preserve"> direct consequence</w:t>
      </w:r>
      <w:r w:rsidR="009717B7">
        <w:t>s</w:t>
      </w:r>
      <w:r w:rsidR="002B085F">
        <w:t xml:space="preserve"> of </w:t>
      </w:r>
      <w:r w:rsidR="00A82200">
        <w:t xml:space="preserve">the changing electron adjacencies </w:t>
      </w:r>
      <w:r w:rsidR="009717B7">
        <w:t>of a peptide over its</w:t>
      </w:r>
      <w:r w:rsidR="00107A07">
        <w:t xml:space="preserve"> folding </w:t>
      </w:r>
      <w:r w:rsidR="00A82200">
        <w:t xml:space="preserve">is the </w:t>
      </w:r>
      <w:r w:rsidR="00EA5B6B">
        <w:t xml:space="preserve">Shannon’s entropy and the energy of the system. </w:t>
      </w:r>
      <w:r w:rsidR="006C7867">
        <w:t xml:space="preserve">Here we </w:t>
      </w:r>
      <w:r w:rsidR="003465A9">
        <w:t xml:space="preserve">perform a preliminary analysis of how those two </w:t>
      </w:r>
      <w:r w:rsidR="00567730">
        <w:t xml:space="preserve">properties </w:t>
      </w:r>
      <w:r w:rsidR="00794C4C">
        <w:t xml:space="preserve">change </w:t>
      </w:r>
      <w:r w:rsidR="00625A8F">
        <w:t xml:space="preserve">before and after a peptide has completely folded. </w:t>
      </w:r>
    </w:p>
    <w:p w14:paraId="3390F0A7" w14:textId="6E229B17" w:rsidR="00F13B3C" w:rsidRDefault="00FD20A0" w:rsidP="00FD20A0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Experimental Approach</w:t>
      </w:r>
    </w:p>
    <w:p w14:paraId="7FBE1BB7" w14:textId="35A034B6" w:rsidR="00DF1BCD" w:rsidRDefault="0053300A" w:rsidP="00FD20A0">
      <w:pPr>
        <w:spacing w:line="480" w:lineRule="auto"/>
      </w:pPr>
      <w:r>
        <w:t xml:space="preserve">The </w:t>
      </w:r>
      <w:r w:rsidR="009642F1">
        <w:t xml:space="preserve">primary tools used in this work are </w:t>
      </w:r>
      <w:r w:rsidR="00541372">
        <w:t xml:space="preserve">the molecular dynamics simulation software, Maestro, by Schrodinger, </w:t>
      </w:r>
      <w:r w:rsidR="00943CF7">
        <w:t xml:space="preserve">Python, </w:t>
      </w:r>
      <w:r w:rsidR="00B0752E">
        <w:t xml:space="preserve">along with the Python </w:t>
      </w:r>
      <w:r w:rsidR="0069562F">
        <w:t>e</w:t>
      </w:r>
      <w:r w:rsidR="00DF6139">
        <w:t xml:space="preserve">cosystem SciPy. </w:t>
      </w:r>
      <w:r w:rsidR="00420E01">
        <w:t xml:space="preserve">Our representative models, </w:t>
      </w:r>
      <w:r w:rsidR="00A36F2E">
        <w:t>the extended and fully</w:t>
      </w:r>
      <w:r w:rsidR="00880E35">
        <w:t xml:space="preserve">-alpha frames of </w:t>
      </w:r>
      <w:r w:rsidR="00371E58">
        <w:t>LK14</w:t>
      </w:r>
      <w:r w:rsidR="00880E35">
        <w:t xml:space="preserve"> </w:t>
      </w:r>
      <w:r w:rsidR="001C49CB">
        <w:t xml:space="preserve">were obtained in Schrodinger, then exported as pdb files. </w:t>
      </w:r>
      <w:r w:rsidR="003C09C0">
        <w:t xml:space="preserve">We parsed these pdb files using </w:t>
      </w:r>
      <w:r w:rsidR="00FC19D8">
        <w:t xml:space="preserve">a Python program which then put the data into an atom distance matrix. </w:t>
      </w:r>
    </w:p>
    <w:p w14:paraId="391F4F41" w14:textId="73060846" w:rsidR="00E40A9E" w:rsidRDefault="00E40A9E" w:rsidP="00E40A9E">
      <w:pPr>
        <w:pStyle w:val="NoSpacing"/>
        <w:rPr>
          <w:rFonts w:ascii="Courier New" w:hAnsi="Courier New" w:cs="Courier New"/>
        </w:rPr>
      </w:pPr>
      <w:r w:rsidRPr="00E40A9E">
        <w:rPr>
          <w:rFonts w:ascii="Courier New" w:hAnsi="Courier New" w:cs="Courier New"/>
        </w:rPr>
        <w:t>for line in pdb_file:</w:t>
      </w:r>
    </w:p>
    <w:p w14:paraId="497863FC" w14:textId="25FA7113" w:rsidR="00E40A9E" w:rsidRDefault="00E40A9E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E4C40">
        <w:rPr>
          <w:rFonts w:ascii="Courier New" w:hAnsi="Courier New" w:cs="Courier New"/>
        </w:rPr>
        <w:t>lineno += 1</w:t>
      </w:r>
    </w:p>
    <w:p w14:paraId="13D0B3AE" w14:textId="67D57956" w:rsidR="00BE4C40" w:rsidRDefault="008B4923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line.startswith(‘ATOM’):</w:t>
      </w:r>
    </w:p>
    <w:p w14:paraId="039CD30E" w14:textId="71B2820A" w:rsidR="008B4923" w:rsidRDefault="008B4923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34FD1">
        <w:rPr>
          <w:rFonts w:ascii="Courier New" w:hAnsi="Courier New" w:cs="Courier New"/>
        </w:rPr>
        <w:tab/>
        <w:t>at_obj = PDBAtom(line)</w:t>
      </w:r>
    </w:p>
    <w:p w14:paraId="6833ABF6" w14:textId="173DDC8D" w:rsidR="003D04B3" w:rsidRDefault="003D04B3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atoms.append([at_obj.x, at_obj.y, at_obj.z])</w:t>
      </w:r>
    </w:p>
    <w:p w14:paraId="3B42CB30" w14:textId="4A55802E" w:rsidR="003D04B3" w:rsidRDefault="003D04B3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val_atoms.append(at_obj.valence_count)</w:t>
      </w:r>
    </w:p>
    <w:p w14:paraId="4D235301" w14:textId="3BD603B4" w:rsidR="009B582C" w:rsidRDefault="009B582C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elif line.startswith(‘END’):</w:t>
      </w:r>
    </w:p>
    <w:p w14:paraId="1C58DD45" w14:textId="7543F21C" w:rsidR="009B582C" w:rsidRDefault="009B582C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frames.append(atom)</w:t>
      </w:r>
    </w:p>
    <w:p w14:paraId="4AAC1242" w14:textId="631AEFF9" w:rsidR="009B582C" w:rsidRDefault="009B582C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atoms = []</w:t>
      </w:r>
    </w:p>
    <w:p w14:paraId="1B751EDE" w14:textId="0DCF605E" w:rsidR="009B582C" w:rsidRDefault="009B582C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val_frames.append(val_atoms)</w:t>
      </w:r>
    </w:p>
    <w:p w14:paraId="67B0B9CE" w14:textId="1BFD5CF8" w:rsidR="009B582C" w:rsidRDefault="009B582C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val_atoms = []</w:t>
      </w:r>
    </w:p>
    <w:p w14:paraId="61E46165" w14:textId="3A814D9B" w:rsidR="00654D74" w:rsidRDefault="00654D74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pdb_file.close()</w:t>
      </w:r>
    </w:p>
    <w:p w14:paraId="0D8AF5D9" w14:textId="270644B3" w:rsidR="00654D74" w:rsidRDefault="00654D74" w:rsidP="00E40A9E">
      <w:pPr>
        <w:pStyle w:val="NoSpacing"/>
        <w:rPr>
          <w:rFonts w:ascii="Courier New" w:hAnsi="Courier New" w:cs="Courier New"/>
        </w:rPr>
      </w:pPr>
    </w:p>
    <w:p w14:paraId="368649B7" w14:textId="47DB1CC4" w:rsidR="00654D74" w:rsidRDefault="00654D74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 = np.zeros((len(frames), len(frames[0]), 3))</w:t>
      </w:r>
    </w:p>
    <w:p w14:paraId="3BEB77C6" w14:textId="337FBDF2" w:rsidR="00654D74" w:rsidRDefault="00654D74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range(len(frames)):</w:t>
      </w:r>
    </w:p>
    <w:p w14:paraId="68C23BC7" w14:textId="389F2849" w:rsidR="00654D74" w:rsidRDefault="00654D74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j in range(len(frames[i]):</w:t>
      </w:r>
    </w:p>
    <w:p w14:paraId="4CD94F83" w14:textId="66889ABD" w:rsidR="00654D74" w:rsidRDefault="00654D74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66E7A">
        <w:rPr>
          <w:rFonts w:ascii="Courier New" w:hAnsi="Courier New" w:cs="Courier New"/>
        </w:rPr>
        <w:t>for k in range(len(frames[i][j])</w:t>
      </w:r>
      <w:r w:rsidR="00531B79">
        <w:rPr>
          <w:rFonts w:ascii="Courier New" w:hAnsi="Courier New" w:cs="Courier New"/>
        </w:rPr>
        <w:t>):</w:t>
      </w:r>
    </w:p>
    <w:p w14:paraId="21A53BCC" w14:textId="3294800A" w:rsidR="00531B79" w:rsidRDefault="00531B79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base[i][j][k] = frames[i][j][k]</w:t>
      </w:r>
    </w:p>
    <w:p w14:paraId="0600DEB8" w14:textId="33E56F43" w:rsidR="00531B79" w:rsidRDefault="00531B79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dists = np.reshape(base, (len(frames), 1, len(frames[0]), 3)) -</w:t>
      </w:r>
      <w:r w:rsidR="00A845BD">
        <w:rPr>
          <w:rFonts w:ascii="Courier New" w:hAnsi="Courier New" w:cs="Courier New"/>
        </w:rPr>
        <w:t>\</w:t>
      </w:r>
    </w:p>
    <w:p w14:paraId="03EA1A1C" w14:textId="4D439A20" w:rsidR="00A845BD" w:rsidRDefault="00A845BD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np.reshape(base, (len(frames), len(frames[0]), 1, 3))</w:t>
      </w:r>
    </w:p>
    <w:p w14:paraId="357C930B" w14:textId="0C67E5EB" w:rsidR="00A845BD" w:rsidRDefault="00A845BD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dists</w:t>
      </w:r>
      <w:r w:rsidR="00542248">
        <w:rPr>
          <w:rFonts w:ascii="Courier New" w:hAnsi="Courier New" w:cs="Courier New"/>
        </w:rPr>
        <w:t xml:space="preserve"> = dists**2</w:t>
      </w:r>
    </w:p>
    <w:p w14:paraId="08EC26DD" w14:textId="7E3A68A9" w:rsidR="00542248" w:rsidRDefault="00542248" w:rsidP="00E40A9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dists = dists.sum(3)</w:t>
      </w:r>
    </w:p>
    <w:p w14:paraId="527B4BE4" w14:textId="63459011" w:rsidR="00542248" w:rsidRPr="00E40A9E" w:rsidRDefault="00542248" w:rsidP="00542248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dists = np.sqrt(dists)</w:t>
      </w:r>
    </w:p>
    <w:p w14:paraId="7D9C0A7A" w14:textId="77777777" w:rsidR="00E40A9E" w:rsidRPr="005E247C" w:rsidRDefault="00E40A9E" w:rsidP="00E40A9E">
      <w:pPr>
        <w:pStyle w:val="NoSpacing"/>
      </w:pPr>
    </w:p>
    <w:tbl>
      <w:tblPr>
        <w:tblStyle w:val="TableGrid"/>
        <w:tblpPr w:leftFromText="180" w:rightFromText="180" w:vertAnchor="text" w:horzAnchor="page" w:tblpX="4741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7152"/>
      </w:tblGrid>
      <w:tr w:rsidR="00E419A5" w14:paraId="5105C470" w14:textId="77777777" w:rsidTr="00E419A5">
        <w:trPr>
          <w:trHeight w:val="2507"/>
        </w:trPr>
        <w:tc>
          <w:tcPr>
            <w:tcW w:w="7152" w:type="dxa"/>
            <w:tcBorders>
              <w:bottom w:val="nil"/>
            </w:tcBorders>
          </w:tcPr>
          <w:p w14:paraId="50C92E65" w14:textId="77777777" w:rsidR="00E419A5" w:rsidRDefault="00E419A5" w:rsidP="00E419A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91AD8B7" wp14:editId="15F8D8FF">
                  <wp:extent cx="4404360" cy="1577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36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9A5" w14:paraId="7750FD85" w14:textId="77777777" w:rsidTr="00E419A5">
        <w:trPr>
          <w:trHeight w:val="1185"/>
        </w:trPr>
        <w:tc>
          <w:tcPr>
            <w:tcW w:w="7152" w:type="dxa"/>
            <w:tcBorders>
              <w:top w:val="nil"/>
            </w:tcBorders>
          </w:tcPr>
          <w:p w14:paraId="654DDE2B" w14:textId="42B37B91" w:rsidR="00E419A5" w:rsidRDefault="00E419A5" w:rsidP="00E419A5">
            <w:r>
              <w:t>Fig 1 – The heatmap on the left is the 8</w:t>
            </w:r>
            <w:r w:rsidR="00772454">
              <w:t>Å</w:t>
            </w:r>
            <w:r w:rsidR="00772454">
              <w:t xml:space="preserve"> </w:t>
            </w:r>
            <w:r>
              <w:t>cutoff electron adjacency matrix for the extended state of LK14, and the heatmap on the right is the 8</w:t>
            </w:r>
            <w:r w:rsidR="00772454">
              <w:t>Å</w:t>
            </w:r>
            <w:r w:rsidR="00772454">
              <w:t xml:space="preserve"> </w:t>
            </w:r>
            <w:r>
              <w:t>cutoff electron adjacency matrix for the fully-α-helical form of LK14</w:t>
            </w:r>
          </w:p>
        </w:tc>
      </w:tr>
    </w:tbl>
    <w:p w14:paraId="2DF21A34" w14:textId="0F0B4B4D" w:rsidR="00E24AB7" w:rsidRPr="00EC2E71" w:rsidRDefault="00985B89" w:rsidP="00EC2E71">
      <w:pPr>
        <w:spacing w:line="480" w:lineRule="auto"/>
      </w:pPr>
      <w:r>
        <w:t xml:space="preserve">Continuing, </w:t>
      </w:r>
      <w:r w:rsidR="0068793F">
        <w:t xml:space="preserve">we used various adjacency cutoffs to </w:t>
      </w:r>
      <w:r w:rsidR="00B410DC">
        <w:t xml:space="preserve">create atom adjacency matrices from the distance matrices. </w:t>
      </w:r>
      <w:r w:rsidR="001D3DA9">
        <w:t>The adjacency cutoffs used were 4</w:t>
      </w:r>
      <w:r w:rsidR="00B51B27">
        <w:t xml:space="preserve">Å, 5Å, 6Å, 7Å, 8Å, and 10Å. </w:t>
      </w:r>
      <w:r w:rsidR="00D84EA4">
        <w:t xml:space="preserve">A heatmap of the </w:t>
      </w:r>
      <w:r w:rsidR="007D0B46">
        <w:t>8</w:t>
      </w:r>
      <w:r w:rsidR="00D84EA4">
        <w:t xml:space="preserve">Å </w:t>
      </w:r>
      <w:r w:rsidR="009177B5">
        <w:t>cutoff</w:t>
      </w:r>
      <w:r w:rsidR="00D84EA4">
        <w:t xml:space="preserve"> extended and fully-α </w:t>
      </w:r>
      <w:r w:rsidR="009177B5">
        <w:t>adjacency matrices is shown in figure</w:t>
      </w:r>
      <w:r w:rsidR="0003328A">
        <w:t xml:space="preserve"> 1</w:t>
      </w:r>
      <w:r w:rsidR="009177B5">
        <w:t>.</w:t>
      </w:r>
      <w:r w:rsidR="00D84EA4">
        <w:t xml:space="preserve"> </w:t>
      </w:r>
      <w:r w:rsidR="001B7B19">
        <w:t xml:space="preserve">We then created electron adjacency matrices </w:t>
      </w:r>
      <w:r w:rsidR="001F04AB">
        <w:t xml:space="preserve">by expanding each atom in the atom adjacency matrix by its number of valence electrons. </w:t>
      </w:r>
    </w:p>
    <w:p w14:paraId="64702D46" w14:textId="186C8D45" w:rsidR="00E300C0" w:rsidRDefault="00205CA3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curr_n, curr_m = 0, 0</w:t>
      </w:r>
    </w:p>
    <w:p w14:paraId="52F08246" w14:textId="17745F6B" w:rsidR="00205CA3" w:rsidRDefault="00205CA3" w:rsidP="00E24AB7">
      <w:pPr>
        <w:pStyle w:val="NoSpacing"/>
        <w:rPr>
          <w:rFonts w:ascii="Courier New" w:hAnsi="Courier New" w:cs="Courier New"/>
        </w:rPr>
      </w:pPr>
    </w:p>
    <w:p w14:paraId="667D4D0F" w14:textId="7A5B9E57" w:rsidR="00205CA3" w:rsidRDefault="00205CA3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range(len(self.adj</w:t>
      </w:r>
      <w:r w:rsidR="00A56675">
        <w:rPr>
          <w:rFonts w:ascii="Courier New" w:hAnsi="Courier New" w:cs="Courier New"/>
        </w:rPr>
        <w:t>acency_graphs)):</w:t>
      </w:r>
    </w:p>
    <w:p w14:paraId="27D6755B" w14:textId="573B9A51" w:rsidR="00A56675" w:rsidRDefault="00A56675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j in range(len(self.adjacency_graphs[0]):</w:t>
      </w:r>
    </w:p>
    <w:p w14:paraId="249C0AC4" w14:textId="1ABC6565" w:rsidR="00A56675" w:rsidRDefault="00A56675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929A9">
        <w:rPr>
          <w:rFonts w:ascii="Courier New" w:hAnsi="Courier New" w:cs="Courier New"/>
        </w:rPr>
        <w:t>for b in range(self.valence_list[i][j]):</w:t>
      </w:r>
    </w:p>
    <w:p w14:paraId="488A8392" w14:textId="5BCE3C3F" w:rsidR="005929A9" w:rsidRDefault="005929A9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k in range(len(self.adjacency_graphs[0][0])):</w:t>
      </w:r>
    </w:p>
    <w:p w14:paraId="11EA2AE2" w14:textId="7E56886C" w:rsidR="005929A9" w:rsidRDefault="005929A9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a in range(len(valence_list</w:t>
      </w:r>
      <w:r w:rsidR="00270E6A">
        <w:rPr>
          <w:rFonts w:ascii="Courier New" w:hAnsi="Courier New" w:cs="Courier New"/>
        </w:rPr>
        <w:t>[i][k]):</w:t>
      </w:r>
    </w:p>
    <w:p w14:paraId="58BC8813" w14:textId="634F055C" w:rsidR="00270E6A" w:rsidRDefault="00270E6A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self.elec_adjacency_graphs[i]</w:t>
      </w:r>
      <w:r w:rsidR="00510FD5">
        <w:rPr>
          <w:rFonts w:ascii="Courier New" w:hAnsi="Courier New" w:cs="Courier New"/>
        </w:rPr>
        <w:t xml:space="preserve"> \ </w:t>
      </w:r>
      <w:r>
        <w:rPr>
          <w:rFonts w:ascii="Courier New" w:hAnsi="Courier New" w:cs="Courier New"/>
        </w:rPr>
        <w:t>[curr_n][curr</w:t>
      </w:r>
      <w:r w:rsidR="00510FD5">
        <w:rPr>
          <w:rFonts w:ascii="Courier New" w:hAnsi="Courier New" w:cs="Courier New"/>
        </w:rPr>
        <w:t>_m] = self.adjacency_graphs[i][j][k]</w:t>
      </w:r>
    </w:p>
    <w:p w14:paraId="698D9022" w14:textId="4E369CA9" w:rsidR="00B57143" w:rsidRDefault="00B57143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curr_m += 1</w:t>
      </w:r>
    </w:p>
    <w:p w14:paraId="2024E9DF" w14:textId="6B05A0A1" w:rsidR="00B57143" w:rsidRDefault="00B57143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96CF0">
        <w:rPr>
          <w:rFonts w:ascii="Courier New" w:hAnsi="Courier New" w:cs="Courier New"/>
        </w:rPr>
        <w:t>curr_m = 0</w:t>
      </w:r>
    </w:p>
    <w:tbl>
      <w:tblPr>
        <w:tblStyle w:val="TableGrid"/>
        <w:tblpPr w:leftFromText="180" w:rightFromText="180" w:vertAnchor="text" w:horzAnchor="page" w:tblpX="8098" w:tblpY="96"/>
        <w:tblOverlap w:val="never"/>
        <w:tblW w:w="3790" w:type="dxa"/>
        <w:tblLook w:val="04A0" w:firstRow="1" w:lastRow="0" w:firstColumn="1" w:lastColumn="0" w:noHBand="0" w:noVBand="1"/>
      </w:tblPr>
      <w:tblGrid>
        <w:gridCol w:w="3790"/>
      </w:tblGrid>
      <w:tr w:rsidR="007666E6" w14:paraId="61801D07" w14:textId="77777777" w:rsidTr="00954CD1">
        <w:trPr>
          <w:trHeight w:val="1613"/>
        </w:trPr>
        <w:tc>
          <w:tcPr>
            <w:tcW w:w="3790" w:type="dxa"/>
            <w:tcBorders>
              <w:bottom w:val="nil"/>
            </w:tcBorders>
          </w:tcPr>
          <w:p w14:paraId="659D6031" w14:textId="600490A1" w:rsidR="007666E6" w:rsidRDefault="002759CC" w:rsidP="00781870">
            <w:pPr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C3B1A8" wp14:editId="37B7E13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20320</wp:posOffset>
                  </wp:positionV>
                  <wp:extent cx="1981200" cy="94297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66E6" w14:paraId="47935A05" w14:textId="77777777" w:rsidTr="00954CD1">
        <w:trPr>
          <w:trHeight w:val="1343"/>
        </w:trPr>
        <w:tc>
          <w:tcPr>
            <w:tcW w:w="3790" w:type="dxa"/>
            <w:tcBorders>
              <w:top w:val="nil"/>
            </w:tcBorders>
          </w:tcPr>
          <w:p w14:paraId="0AE67E99" w14:textId="01440204" w:rsidR="007666E6" w:rsidRDefault="00781870" w:rsidP="00781870">
            <w:r>
              <w:t xml:space="preserve">Fig 2 </w:t>
            </w:r>
            <w:r w:rsidR="00F77DF1">
              <w:t>–</w:t>
            </w:r>
            <w:r>
              <w:t xml:space="preserve"> </w:t>
            </w:r>
            <w:r w:rsidR="00F77DF1">
              <w:t xml:space="preserve">The left table shows the atom adjacencies of </w:t>
            </w:r>
            <w:r w:rsidR="00CF7C2E">
              <w:t>a water molecule. The right table shows the valence electron adjacencies of a water atom</w:t>
            </w:r>
          </w:p>
        </w:tc>
      </w:tr>
    </w:tbl>
    <w:p w14:paraId="51F035FA" w14:textId="06608F03" w:rsidR="00396CF0" w:rsidRDefault="00396CF0" w:rsidP="00E24AB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curr_n += 1</w:t>
      </w:r>
    </w:p>
    <w:p w14:paraId="2555F153" w14:textId="4F2C6256" w:rsidR="00E24AB7" w:rsidRPr="00EC2E71" w:rsidRDefault="00396CF0" w:rsidP="00EC2E71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C2E71">
        <w:rPr>
          <w:rFonts w:ascii="Courier New" w:hAnsi="Courier New" w:cs="Courier New"/>
        </w:rPr>
        <w:t>curr_n = 0</w:t>
      </w:r>
    </w:p>
    <w:p w14:paraId="40A4A529" w14:textId="65C85564" w:rsidR="00FD20A0" w:rsidRDefault="00354CCD" w:rsidP="00EC2E71">
      <w:pPr>
        <w:spacing w:line="480" w:lineRule="auto"/>
      </w:pPr>
      <w:r>
        <w:t>This process is visualized in figure</w:t>
      </w:r>
      <w:r w:rsidR="00057F7C">
        <w:t xml:space="preserve"> 2</w:t>
      </w:r>
      <w:r w:rsidR="009177B5">
        <w:t>.</w:t>
      </w:r>
      <w:r w:rsidR="00A91BE4">
        <w:t xml:space="preserve"> For each electron adjacency matrix </w:t>
      </w:r>
      <w:r w:rsidR="001E5FA1">
        <w:t>10</w:t>
      </w:r>
      <w:r w:rsidR="004C0AA0">
        <w:t xml:space="preserve"> random matrices are created. Each of th</w:t>
      </w:r>
      <w:r w:rsidR="001E5FA1">
        <w:t>ese matrices are Hermitian</w:t>
      </w:r>
      <w:r w:rsidR="00E94EEF">
        <w:t xml:space="preserve">, and the values of the elements are chosen from a random normal distribution. </w:t>
      </w:r>
    </w:p>
    <w:p w14:paraId="452E5A7B" w14:textId="0065018F" w:rsidR="00CB146A" w:rsidRDefault="00EB5B01" w:rsidP="00CB146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 = np.random.normal(size=(elec_count</w:t>
      </w:r>
      <w:r w:rsidR="001F5465">
        <w:rPr>
          <w:rFonts w:ascii="Courier New" w:hAnsi="Courier New" w:cs="Courier New"/>
        </w:rPr>
        <w:t>, elec_count)</w:t>
      </w:r>
    </w:p>
    <w:p w14:paraId="23B29D25" w14:textId="10368E36" w:rsidR="001F5465" w:rsidRDefault="001F5465" w:rsidP="00CB146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rt = np.transpose(r)</w:t>
      </w:r>
    </w:p>
    <w:p w14:paraId="5B140B74" w14:textId="77A7FEBA" w:rsidR="000D5FC8" w:rsidRDefault="00EC61AC" w:rsidP="000D5FC8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 = (r + rt) / np.sqrt(2 * elec_count)</w:t>
      </w:r>
    </w:p>
    <w:p w14:paraId="7AE2F0B5" w14:textId="049A89E6" w:rsidR="00E94EEF" w:rsidRDefault="00C675D8" w:rsidP="000D5FC8">
      <w:pPr>
        <w:spacing w:line="480" w:lineRule="auto"/>
      </w:pPr>
      <w:r>
        <w:t xml:space="preserve">The pairs of adjacency matrices and random matrices are multiplied elementwise. </w:t>
      </w:r>
      <w:r w:rsidR="000261C4">
        <w:t xml:space="preserve">This yields the Hamiltonian. </w:t>
      </w:r>
      <w:r w:rsidR="00F157D5">
        <w:t xml:space="preserve">We take the </w:t>
      </w:r>
      <w:r w:rsidR="009A5730">
        <w:t xml:space="preserve">eigenvalues from this matrix. </w:t>
      </w:r>
      <w:r w:rsidR="00D87093">
        <w:t>The distributions of these eigenvalue</w:t>
      </w:r>
      <w:r w:rsidR="00545B6A">
        <w:t>s</w:t>
      </w:r>
      <w:r w:rsidR="00F5346C">
        <w:t xml:space="preserve"> reveal the Shannon’s entropy of the system. </w:t>
      </w:r>
      <w:r w:rsidR="00582505">
        <w:t xml:space="preserve">In the following </w:t>
      </w:r>
      <w:r w:rsidR="006F6694">
        <w:t xml:space="preserve">figures a trend toward </w:t>
      </w:r>
      <w:r w:rsidR="000E25E0">
        <w:t xml:space="preserve">filling the </w:t>
      </w:r>
      <w:r w:rsidR="006F6694">
        <w:t>Wigner semicircle distribution</w:t>
      </w:r>
      <w:r w:rsidR="001A5118">
        <w:t xml:space="preserve"> is seen</w:t>
      </w:r>
      <w:r w:rsidR="004F54A0">
        <w:t xml:space="preserve"> </w:t>
      </w:r>
      <w:r w:rsidR="002A2999">
        <w:t>as the adjacency values increase. Within</w:t>
      </w:r>
      <w:r w:rsidR="009531D7">
        <w:t xml:space="preserve"> each adjacency value </w:t>
      </w:r>
      <w:r w:rsidR="00255E85">
        <w:t xml:space="preserve">the </w:t>
      </w:r>
      <w:r w:rsidR="00A36A96">
        <w:t xml:space="preserve">α-helix </w:t>
      </w:r>
      <w:r w:rsidR="007B25C5">
        <w:t xml:space="preserve">eigenvalue distribution is closer to </w:t>
      </w:r>
      <w:r w:rsidR="00545B6A">
        <w:t xml:space="preserve">a semicircle than the eigenvalue distribution of the </w:t>
      </w:r>
      <w:r w:rsidR="00402772">
        <w:t xml:space="preserve">extended structure. </w:t>
      </w:r>
    </w:p>
    <w:tbl>
      <w:tblPr>
        <w:tblStyle w:val="TableGrid"/>
        <w:tblpPr w:leftFromText="180" w:rightFromText="180" w:vertAnchor="text" w:tblpX="-905" w:tblpY="445"/>
        <w:tblOverlap w:val="never"/>
        <w:tblW w:w="11245" w:type="dxa"/>
        <w:tblLook w:val="04A0" w:firstRow="1" w:lastRow="0" w:firstColumn="1" w:lastColumn="0" w:noHBand="0" w:noVBand="1"/>
      </w:tblPr>
      <w:tblGrid>
        <w:gridCol w:w="5616"/>
        <w:gridCol w:w="5629"/>
      </w:tblGrid>
      <w:tr w:rsidR="00AD228A" w14:paraId="4B7911EA" w14:textId="77777777" w:rsidTr="00491EFC">
        <w:tc>
          <w:tcPr>
            <w:tcW w:w="5616" w:type="dxa"/>
            <w:tcBorders>
              <w:bottom w:val="nil"/>
            </w:tcBorders>
          </w:tcPr>
          <w:p w14:paraId="4D2453B8" w14:textId="27FC68E2" w:rsidR="00CA09C1" w:rsidRDefault="00AB4823" w:rsidP="00491EFC">
            <w:r>
              <w:rPr>
                <w:noProof/>
              </w:rPr>
              <w:drawing>
                <wp:inline distT="0" distB="0" distL="0" distR="0" wp14:anchorId="13D3C7FC" wp14:editId="1A2BD0AC">
                  <wp:extent cx="3424981" cy="1165860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280" cy="118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9" w:type="dxa"/>
            <w:tcBorders>
              <w:bottom w:val="nil"/>
            </w:tcBorders>
          </w:tcPr>
          <w:p w14:paraId="05ACA66B" w14:textId="3525198F" w:rsidR="00CA09C1" w:rsidRDefault="00F1742A" w:rsidP="00491EFC">
            <w:r>
              <w:rPr>
                <w:noProof/>
              </w:rPr>
              <w:drawing>
                <wp:inline distT="0" distB="0" distL="0" distR="0" wp14:anchorId="10AB4859" wp14:editId="47679FF8">
                  <wp:extent cx="3356527" cy="1136704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404" cy="1175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28A" w14:paraId="60169BF7" w14:textId="77777777" w:rsidTr="00491EFC">
        <w:trPr>
          <w:trHeight w:val="765"/>
        </w:trPr>
        <w:tc>
          <w:tcPr>
            <w:tcW w:w="5616" w:type="dxa"/>
            <w:tcBorders>
              <w:top w:val="nil"/>
            </w:tcBorders>
          </w:tcPr>
          <w:p w14:paraId="7EB11CF0" w14:textId="4293DBA3" w:rsidR="003E6FC7" w:rsidRDefault="00EB4C6A" w:rsidP="00491EFC">
            <w:r>
              <w:t xml:space="preserve">Fig 3 – Eigenvalue distributions of the extended and α-helical forms of LK14 with adjacency cutoff of 4Å </w:t>
            </w:r>
          </w:p>
        </w:tc>
        <w:tc>
          <w:tcPr>
            <w:tcW w:w="5629" w:type="dxa"/>
            <w:tcBorders>
              <w:top w:val="nil"/>
            </w:tcBorders>
          </w:tcPr>
          <w:p w14:paraId="6BB028B5" w14:textId="0CA59999" w:rsidR="00CA09C1" w:rsidRDefault="00EB4C6A" w:rsidP="00491EFC">
            <w:r>
              <w:t xml:space="preserve">Fig </w:t>
            </w:r>
            <w:r>
              <w:t>4</w:t>
            </w:r>
            <w:r>
              <w:t xml:space="preserve"> – Eigenvalue distributions of the extended and α-helical forms of LK14 with adjacency cutoff of </w:t>
            </w:r>
            <w:r w:rsidR="00772454">
              <w:t>5</w:t>
            </w:r>
            <w:r>
              <w:t>Å</w:t>
            </w:r>
          </w:p>
        </w:tc>
      </w:tr>
      <w:tr w:rsidR="00AD228A" w14:paraId="335934D6" w14:textId="77777777" w:rsidTr="00491EFC">
        <w:tc>
          <w:tcPr>
            <w:tcW w:w="5616" w:type="dxa"/>
            <w:tcBorders>
              <w:bottom w:val="nil"/>
            </w:tcBorders>
          </w:tcPr>
          <w:p w14:paraId="5E6A4871" w14:textId="20A26F93" w:rsidR="00CA09C1" w:rsidRDefault="000E3586" w:rsidP="00491EFC">
            <w:r>
              <w:rPr>
                <w:noProof/>
              </w:rPr>
              <w:drawing>
                <wp:inline distT="0" distB="0" distL="0" distR="0" wp14:anchorId="192CECF8" wp14:editId="5BDCBB09">
                  <wp:extent cx="3424555" cy="1136645"/>
                  <wp:effectExtent l="0" t="0" r="444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462" cy="1164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9" w:type="dxa"/>
            <w:tcBorders>
              <w:bottom w:val="nil"/>
            </w:tcBorders>
          </w:tcPr>
          <w:p w14:paraId="2E69FE9A" w14:textId="224C93B1" w:rsidR="00CA09C1" w:rsidRDefault="000B0362" w:rsidP="00491EFC">
            <w:r>
              <w:rPr>
                <w:noProof/>
              </w:rPr>
              <w:drawing>
                <wp:inline distT="0" distB="0" distL="0" distR="0" wp14:anchorId="2A90ADDA" wp14:editId="02B7498B">
                  <wp:extent cx="3396491" cy="1122508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697" cy="1163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28A" w14:paraId="5037A95E" w14:textId="77777777" w:rsidTr="00491EFC">
        <w:trPr>
          <w:trHeight w:val="801"/>
        </w:trPr>
        <w:tc>
          <w:tcPr>
            <w:tcW w:w="5616" w:type="dxa"/>
            <w:tcBorders>
              <w:top w:val="nil"/>
            </w:tcBorders>
          </w:tcPr>
          <w:p w14:paraId="004CB5E3" w14:textId="16A19D7B" w:rsidR="00CA09C1" w:rsidRDefault="00EB4C6A" w:rsidP="00491EFC">
            <w:r>
              <w:t xml:space="preserve">Fig </w:t>
            </w:r>
            <w:r>
              <w:t>5</w:t>
            </w:r>
            <w:r>
              <w:t xml:space="preserve"> – Eigenvalue distributions of the extended and α-helical forms of LK14 with adjacency cutoff of </w:t>
            </w:r>
            <w:r w:rsidR="00772454">
              <w:t>6</w:t>
            </w:r>
            <w:r>
              <w:t>Å</w:t>
            </w:r>
          </w:p>
        </w:tc>
        <w:tc>
          <w:tcPr>
            <w:tcW w:w="5629" w:type="dxa"/>
            <w:tcBorders>
              <w:top w:val="nil"/>
            </w:tcBorders>
          </w:tcPr>
          <w:p w14:paraId="19EA652A" w14:textId="4CBA3B63" w:rsidR="00CA09C1" w:rsidRDefault="00EB4C6A" w:rsidP="00491EFC">
            <w:r>
              <w:t xml:space="preserve">Fig </w:t>
            </w:r>
            <w:r>
              <w:t>6</w:t>
            </w:r>
            <w:r>
              <w:t xml:space="preserve"> – Eigenvalue distributions of the extended and α-helical forms of LK14 with adjacency cutoff of </w:t>
            </w:r>
            <w:r w:rsidR="00772454">
              <w:t>7</w:t>
            </w:r>
            <w:r>
              <w:t>Å</w:t>
            </w:r>
          </w:p>
        </w:tc>
      </w:tr>
      <w:tr w:rsidR="00AD228A" w14:paraId="116A718B" w14:textId="77777777" w:rsidTr="00491EFC">
        <w:tc>
          <w:tcPr>
            <w:tcW w:w="5616" w:type="dxa"/>
            <w:tcBorders>
              <w:bottom w:val="nil"/>
            </w:tcBorders>
          </w:tcPr>
          <w:p w14:paraId="02694A55" w14:textId="66CAD440" w:rsidR="00CA09C1" w:rsidRDefault="005B4799" w:rsidP="00491EFC">
            <w:r>
              <w:rPr>
                <w:noProof/>
              </w:rPr>
              <w:drawing>
                <wp:inline distT="0" distB="0" distL="0" distR="0" wp14:anchorId="5C5F3009" wp14:editId="4C2520DF">
                  <wp:extent cx="3412384" cy="11277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985" cy="115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9" w:type="dxa"/>
            <w:tcBorders>
              <w:bottom w:val="nil"/>
            </w:tcBorders>
          </w:tcPr>
          <w:p w14:paraId="1C555A00" w14:textId="0606D2C1" w:rsidR="00CA09C1" w:rsidRDefault="00AD228A" w:rsidP="00491EFC">
            <w:r>
              <w:rPr>
                <w:noProof/>
              </w:rPr>
              <w:drawing>
                <wp:inline distT="0" distB="0" distL="0" distR="0" wp14:anchorId="0DD6E868" wp14:editId="24155D83">
                  <wp:extent cx="3366248" cy="1128070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866" cy="116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28A" w14:paraId="7985F40F" w14:textId="77777777" w:rsidTr="00491EFC">
        <w:tc>
          <w:tcPr>
            <w:tcW w:w="5616" w:type="dxa"/>
            <w:tcBorders>
              <w:top w:val="nil"/>
            </w:tcBorders>
          </w:tcPr>
          <w:p w14:paraId="3B92AD2D" w14:textId="4FF60247" w:rsidR="00CA09C1" w:rsidRDefault="00EB4C6A" w:rsidP="00491EFC">
            <w:r>
              <w:t xml:space="preserve">Fig </w:t>
            </w:r>
            <w:r>
              <w:t>7</w:t>
            </w:r>
            <w:r>
              <w:t xml:space="preserve"> – Eigenvalue distributions of the extended and α-helical forms of LK14 with adjacency cutoff of </w:t>
            </w:r>
            <w:r w:rsidR="00772454">
              <w:t>8</w:t>
            </w:r>
            <w:r>
              <w:t>Å</w:t>
            </w:r>
          </w:p>
        </w:tc>
        <w:tc>
          <w:tcPr>
            <w:tcW w:w="5629" w:type="dxa"/>
            <w:tcBorders>
              <w:top w:val="nil"/>
            </w:tcBorders>
          </w:tcPr>
          <w:p w14:paraId="050A5C5C" w14:textId="20FAC84D" w:rsidR="00CA09C1" w:rsidRDefault="00EB4C6A" w:rsidP="00491EFC">
            <w:r>
              <w:t xml:space="preserve">Fig </w:t>
            </w:r>
            <w:r>
              <w:t>8</w:t>
            </w:r>
            <w:r>
              <w:t xml:space="preserve"> – Eigenvalue distributions of the extended and α-helical forms of LK14 with adjacency cutoff of </w:t>
            </w:r>
            <w:r w:rsidR="00772454">
              <w:t>10</w:t>
            </w:r>
            <w:r>
              <w:t>Å</w:t>
            </w:r>
          </w:p>
        </w:tc>
      </w:tr>
    </w:tbl>
    <w:p w14:paraId="3724579E" w14:textId="7716589D" w:rsidR="001013A2" w:rsidRDefault="001013A2" w:rsidP="000D5FC8">
      <w:pPr>
        <w:spacing w:line="480" w:lineRule="auto"/>
      </w:pPr>
    </w:p>
    <w:p w14:paraId="28F63EF9" w14:textId="77777777" w:rsidR="00491EFC" w:rsidRPr="00491EFC" w:rsidRDefault="00491EFC" w:rsidP="00491EFC">
      <w:pPr>
        <w:spacing w:line="480" w:lineRule="auto"/>
        <w:rPr>
          <w:b/>
          <w:bCs/>
        </w:rPr>
      </w:pPr>
    </w:p>
    <w:p w14:paraId="2F52780C" w14:textId="15779E07" w:rsidR="00290290" w:rsidRDefault="00491EFC" w:rsidP="00491EFC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lastRenderedPageBreak/>
        <w:t>Discussion</w:t>
      </w:r>
    </w:p>
    <w:p w14:paraId="0CF3CAE9" w14:textId="7463C5F4" w:rsidR="00491EFC" w:rsidRDefault="00794BF1" w:rsidP="00491EFC">
      <w:pPr>
        <w:spacing w:line="480" w:lineRule="auto"/>
      </w:pPr>
      <w:r>
        <w:t xml:space="preserve">In addition to all the work presented above, </w:t>
      </w:r>
      <w:r w:rsidR="00A103F2">
        <w:t>significant</w:t>
      </w:r>
      <w:r w:rsidR="006F05B7">
        <w:t xml:space="preserve"> work </w:t>
      </w:r>
      <w:r w:rsidR="00A103F2">
        <w:t xml:space="preserve">was </w:t>
      </w:r>
      <w:r w:rsidR="006F05B7">
        <w:t xml:space="preserve">done towards </w:t>
      </w:r>
      <w:r w:rsidR="00C54973">
        <w:t>creating the actual trajectory of entropy</w:t>
      </w:r>
      <w:r w:rsidR="00DC6F8E">
        <w:t xml:space="preserve"> and energy over time. </w:t>
      </w:r>
      <w:r w:rsidR="00C06A72">
        <w:t xml:space="preserve">We produced quite a few figures depicting these trajectories, but those results were hampered by a couple things. The first was that the molecular dynamics </w:t>
      </w:r>
      <w:r w:rsidR="00FB54F3">
        <w:t>simulation of LK14 was not at an interface, ra</w:t>
      </w:r>
      <w:r w:rsidR="006C59DD">
        <w:t xml:space="preserve">ther it was in solution. Because of this, we did not quite get the fully-α-helical structure we were looking for. </w:t>
      </w:r>
      <w:r w:rsidR="00060CCD">
        <w:t>Some α-helical tendencies were observed, and we did see the entropy and energy graphs display</w:t>
      </w:r>
      <w:r w:rsidR="00660D6C">
        <w:t xml:space="preserve"> changes in the frames with those tendencies. </w:t>
      </w:r>
      <w:r w:rsidR="00062DFE">
        <w:t xml:space="preserve">However, we were also using </w:t>
      </w:r>
      <w:r w:rsidR="00965B35">
        <w:t xml:space="preserve">equations for single-state entropy and energy rather than continuous entropy and energy. We have just </w:t>
      </w:r>
      <w:r w:rsidR="00A66429">
        <w:t xml:space="preserve">solved for the continuous entropy </w:t>
      </w:r>
      <w:r w:rsidR="00373B40">
        <w:t>equation and</w:t>
      </w:r>
      <w:r w:rsidR="00A66429">
        <w:t xml:space="preserve"> will be implementing that soon</w:t>
      </w:r>
      <w:r w:rsidR="00313473">
        <w:t xml:space="preserve">. </w:t>
      </w:r>
      <w:r w:rsidR="009300BF">
        <w:t xml:space="preserve">We hope to solve for the energy equation soon as well. </w:t>
      </w:r>
      <w:r w:rsidR="00313473">
        <w:t>In addition to the current molecular dynamics data we have</w:t>
      </w:r>
      <w:r w:rsidR="009A67BE">
        <w:t xml:space="preserve"> which only includes the atoms in the peptide</w:t>
      </w:r>
      <w:r w:rsidR="00313473">
        <w:t>, we plan to include</w:t>
      </w:r>
      <w:r w:rsidR="009A67BE">
        <w:t xml:space="preserve"> water molecule</w:t>
      </w:r>
      <w:r w:rsidR="00912372">
        <w:t>s surrounding the peptide into our analysis</w:t>
      </w:r>
      <w:r w:rsidR="00165854">
        <w:t xml:space="preserve"> in the future. We also plan on </w:t>
      </w:r>
      <w:r w:rsidR="00D22BA2">
        <w:t xml:space="preserve">exploring the possibility of adding new </w:t>
      </w:r>
      <w:r w:rsidR="00D75A1A">
        <w:t>electronic as</w:t>
      </w:r>
      <w:r w:rsidR="008D54DD">
        <w:t>sociations</w:t>
      </w:r>
      <w:r w:rsidR="001429D6">
        <w:t xml:space="preserve"> of the peptide into our data</w:t>
      </w:r>
      <w:r w:rsidR="008D54DD">
        <w:t xml:space="preserve">, </w:t>
      </w:r>
      <w:r w:rsidR="00331688">
        <w:t>such as</w:t>
      </w:r>
      <w:r w:rsidR="00300924">
        <w:t xml:space="preserve"> electronic</w:t>
      </w:r>
      <w:r w:rsidR="008D54DD">
        <w:t xml:space="preserve"> </w:t>
      </w:r>
      <w:r w:rsidR="008D0A49">
        <w:t>resonances within e</w:t>
      </w:r>
      <w:r w:rsidR="004D5005">
        <w:t>ach amino acid</w:t>
      </w:r>
      <w:r w:rsidR="00FF0644">
        <w:t xml:space="preserve"> in the peptide</w:t>
      </w:r>
      <w:r w:rsidR="004D5005">
        <w:t>.</w:t>
      </w:r>
    </w:p>
    <w:p w14:paraId="1CDB91BE" w14:textId="19AE0C3B" w:rsidR="008E274B" w:rsidRDefault="008E274B" w:rsidP="008E274B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Conclusions</w:t>
      </w:r>
    </w:p>
    <w:p w14:paraId="4517E6FC" w14:textId="12AB6632" w:rsidR="008E274B" w:rsidRDefault="00FE60EA" w:rsidP="008E274B">
      <w:pPr>
        <w:spacing w:line="480" w:lineRule="auto"/>
      </w:pPr>
      <w:r>
        <w:t xml:space="preserve">From the eigenvalue distributions </w:t>
      </w:r>
      <w:r w:rsidR="00022FDC">
        <w:t xml:space="preserve">created in this work </w:t>
      </w:r>
      <w:r>
        <w:t xml:space="preserve">we can see that the α-helical forms of </w:t>
      </w:r>
      <w:r w:rsidR="00E507B8">
        <w:t xml:space="preserve">LK14 have greater information entropy than </w:t>
      </w:r>
      <w:r w:rsidR="00FA5E43">
        <w:t>the extended form</w:t>
      </w:r>
      <w:r w:rsidR="00794950">
        <w:t xml:space="preserve">s of LK14. </w:t>
      </w:r>
      <w:r w:rsidR="00164F56">
        <w:t xml:space="preserve">In this work we have </w:t>
      </w:r>
      <w:r w:rsidR="00A466CD">
        <w:t>set a foundation of code with which we can analyze molecular dynamics data in the future</w:t>
      </w:r>
      <w:r w:rsidR="00D704B2">
        <w:t xml:space="preserve">. </w:t>
      </w:r>
      <w:r w:rsidR="00547FA3">
        <w:t xml:space="preserve">We have also acquainted ourselves with the mathematics necessary to continue </w:t>
      </w:r>
      <w:r w:rsidR="00AF6AE9">
        <w:t xml:space="preserve">making progress on this project. </w:t>
      </w:r>
    </w:p>
    <w:p w14:paraId="547C34D9" w14:textId="6A54C81F" w:rsidR="00794950" w:rsidRDefault="00794950" w:rsidP="00794950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Acknowledgements</w:t>
      </w:r>
    </w:p>
    <w:p w14:paraId="518E4F69" w14:textId="6EE60A3F" w:rsidR="00794950" w:rsidRDefault="00BF511E" w:rsidP="00794950">
      <w:pPr>
        <w:spacing w:line="480" w:lineRule="auto"/>
      </w:pPr>
      <w:r>
        <w:lastRenderedPageBreak/>
        <w:t>This research is supported by the DMREF Program of NSF through the MGI platform under DMR# 1629071, 1848911, and 1922020</w:t>
      </w:r>
      <w:r w:rsidR="00C92E63">
        <w:t xml:space="preserve"> at GEMSEC, Genetically Engineered Materials Science and Engineering Center, University of Washington. We thank </w:t>
      </w:r>
      <w:r w:rsidR="00FE280B">
        <w:t>T. Trogdon (UW) for helpful discussions</w:t>
      </w:r>
      <w:r w:rsidR="008B46FC">
        <w:t>.</w:t>
      </w:r>
    </w:p>
    <w:p w14:paraId="0A23FA37" w14:textId="24B7A7FC" w:rsidR="008B46FC" w:rsidRDefault="008B46FC" w:rsidP="008B46FC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References</w:t>
      </w:r>
    </w:p>
    <w:p w14:paraId="34B43521" w14:textId="2141F064" w:rsidR="008B46FC" w:rsidRDefault="008C5A81" w:rsidP="00285557">
      <w:pPr>
        <w:spacing w:line="360" w:lineRule="auto"/>
      </w:pPr>
      <w:r>
        <w:t xml:space="preserve">Joanna R. Long, Nathan Oyler, Gary P. Drobny, and Patrick S. Stayton, “Assembly of α-helical Peptide Coatings on Hydrophobic Surfaces,” </w:t>
      </w:r>
      <w:r w:rsidRPr="008C5A81">
        <w:rPr>
          <w:i/>
          <w:iCs/>
        </w:rPr>
        <w:t>Journal of the American Chemical Society</w:t>
      </w:r>
      <w:r>
        <w:t xml:space="preserve"> </w:t>
      </w:r>
      <w:r w:rsidRPr="008C5A81">
        <w:rPr>
          <w:b/>
          <w:bCs/>
        </w:rPr>
        <w:t>2002</w:t>
      </w:r>
      <w:r>
        <w:t xml:space="preserve"> 124(22), 6297-6303 DOI: 10.1021/ja011624n</w:t>
      </w:r>
    </w:p>
    <w:p w14:paraId="79AFE9C4" w14:textId="37272069" w:rsidR="00614EEC" w:rsidRPr="00044640" w:rsidRDefault="00614EEC" w:rsidP="00285557">
      <w:pPr>
        <w:spacing w:line="360" w:lineRule="auto"/>
      </w:pPr>
      <w:r>
        <w:t xml:space="preserve">Bertrand Eynard, Taro Kimura, and Sylvain Ribault, “Random Matrices,” </w:t>
      </w:r>
      <w:r w:rsidR="00DF7E66" w:rsidRPr="00DF7E66">
        <w:rPr>
          <w:b/>
          <w:bCs/>
        </w:rPr>
        <w:t>2015</w:t>
      </w:r>
      <w:r w:rsidR="00044640">
        <w:t xml:space="preserve"> arXiv</w:t>
      </w:r>
      <w:r w:rsidR="00D110CB">
        <w:t>:1510.04430</w:t>
      </w:r>
      <w:bookmarkStart w:id="0" w:name="_GoBack"/>
      <w:bookmarkEnd w:id="0"/>
    </w:p>
    <w:p w14:paraId="3FB7D9FA" w14:textId="3481C3EE" w:rsidR="00285557" w:rsidRDefault="00D57548" w:rsidP="00EA3E2B">
      <w:pPr>
        <w:spacing w:line="360" w:lineRule="auto"/>
      </w:pPr>
      <w:r>
        <w:t>Yi-Kai Liu, “Statistical Behavior of the Eigenvalues of Random Matrices,”</w:t>
      </w:r>
      <w:r w:rsidR="00EA3E2B">
        <w:t xml:space="preserve"> Mathematics Junior Seminar </w:t>
      </w:r>
      <w:r w:rsidR="00EA3E2B" w:rsidRPr="00EA3E2B">
        <w:rPr>
          <w:b/>
          <w:bCs/>
        </w:rPr>
        <w:t>Spring 2001</w:t>
      </w:r>
      <w:r w:rsidR="00EA3E2B">
        <w:t>, Princeton University</w:t>
      </w:r>
    </w:p>
    <w:p w14:paraId="41A00F8F" w14:textId="77777777" w:rsidR="00EA3E2B" w:rsidRPr="008B46FC" w:rsidRDefault="00EA3E2B" w:rsidP="00EA3E2B">
      <w:pPr>
        <w:spacing w:line="360" w:lineRule="auto"/>
      </w:pPr>
    </w:p>
    <w:sectPr w:rsidR="00EA3E2B" w:rsidRPr="008B46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5C12" w14:textId="77777777" w:rsidR="002D62D7" w:rsidRDefault="002D62D7" w:rsidP="00416548">
      <w:pPr>
        <w:spacing w:after="0" w:line="240" w:lineRule="auto"/>
      </w:pPr>
      <w:r>
        <w:separator/>
      </w:r>
    </w:p>
  </w:endnote>
  <w:endnote w:type="continuationSeparator" w:id="0">
    <w:p w14:paraId="64720409" w14:textId="77777777" w:rsidR="002D62D7" w:rsidRDefault="002D62D7" w:rsidP="0041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88FC2" w14:textId="77777777" w:rsidR="002D62D7" w:rsidRDefault="002D62D7" w:rsidP="00416548">
      <w:pPr>
        <w:spacing w:after="0" w:line="240" w:lineRule="auto"/>
      </w:pPr>
      <w:r>
        <w:separator/>
      </w:r>
    </w:p>
  </w:footnote>
  <w:footnote w:type="continuationSeparator" w:id="0">
    <w:p w14:paraId="0E143956" w14:textId="77777777" w:rsidR="002D62D7" w:rsidRDefault="002D62D7" w:rsidP="00416548">
      <w:pPr>
        <w:spacing w:after="0" w:line="240" w:lineRule="auto"/>
      </w:pPr>
      <w:r>
        <w:continuationSeparator/>
      </w:r>
    </w:p>
  </w:footnote>
  <w:footnote w:id="1">
    <w:p w14:paraId="1BB7B62F" w14:textId="7D6844AE" w:rsidR="0083770D" w:rsidRDefault="0083770D">
      <w:pPr>
        <w:pStyle w:val="FootnoteText"/>
      </w:pPr>
      <w:r>
        <w:rPr>
          <w:rStyle w:val="FootnoteReference"/>
        </w:rPr>
        <w:footnoteRef/>
      </w:r>
      <w:r>
        <w:t xml:space="preserve"> Genetically Engineered Materials Science and Engineering Center</w:t>
      </w:r>
      <w:r w:rsidR="005157FF">
        <w:t>, University of Washington</w:t>
      </w:r>
    </w:p>
  </w:footnote>
  <w:footnote w:id="2">
    <w:p w14:paraId="1421989F" w14:textId="213767BF" w:rsidR="0083770D" w:rsidRDefault="008377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E2891">
        <w:t>College of Engineering, University of Washington</w:t>
      </w:r>
    </w:p>
    <w:p w14:paraId="1EC5C623" w14:textId="53A2DD7F" w:rsidR="0083770D" w:rsidRDefault="0083770D">
      <w:pPr>
        <w:pStyle w:val="FootnoteText"/>
      </w:pPr>
      <w:r>
        <w:rPr>
          <w:rStyle w:val="FootnoteReference"/>
        </w:rPr>
        <w:t>3</w:t>
      </w:r>
      <w:r>
        <w:t xml:space="preserve"> </w:t>
      </w:r>
      <w:r w:rsidR="00D5551E">
        <w:t>Atmospheric Chemistry</w:t>
      </w:r>
      <w:r w:rsidR="005157FF">
        <w:t>, University of Washington</w:t>
      </w:r>
    </w:p>
    <w:p w14:paraId="4BFBF499" w14:textId="591D2AD5" w:rsidR="0083770D" w:rsidRDefault="0083770D">
      <w:pPr>
        <w:pStyle w:val="FootnoteText"/>
      </w:pPr>
      <w:r>
        <w:rPr>
          <w:rStyle w:val="FootnoteReference"/>
        </w:rPr>
        <w:t>4</w:t>
      </w:r>
      <w:r>
        <w:t xml:space="preserve"> </w:t>
      </w:r>
      <w:r w:rsidR="00D5551E">
        <w:t>Applied Mathematics</w:t>
      </w:r>
      <w:r w:rsidR="005157FF">
        <w:t>, University of Washington</w:t>
      </w:r>
    </w:p>
    <w:p w14:paraId="671468CC" w14:textId="0E5CB54C" w:rsidR="0083770D" w:rsidRDefault="0083770D">
      <w:pPr>
        <w:pStyle w:val="FootnoteText"/>
      </w:pPr>
      <w:r>
        <w:rPr>
          <w:rStyle w:val="FootnoteReference"/>
        </w:rPr>
        <w:t>5</w:t>
      </w:r>
      <w:r>
        <w:t xml:space="preserve"> </w:t>
      </w:r>
      <w:r w:rsidR="00D5551E">
        <w:t>Materials Science and Engineering</w:t>
      </w:r>
      <w:r w:rsidR="005157FF">
        <w:t>, University of Washington</w:t>
      </w:r>
    </w:p>
    <w:p w14:paraId="6C3AF324" w14:textId="58CF7B88" w:rsidR="0083770D" w:rsidRDefault="0083770D">
      <w:pPr>
        <w:pStyle w:val="FootnoteText"/>
      </w:pPr>
      <w:r>
        <w:rPr>
          <w:rStyle w:val="FootnoteReference"/>
        </w:rPr>
        <w:t>6</w:t>
      </w:r>
      <w:r>
        <w:t xml:space="preserve"> </w:t>
      </w:r>
      <w:r w:rsidR="00D5551E">
        <w:t>Molecular Engineering and Science Institute</w:t>
      </w:r>
      <w:r w:rsidR="005157FF">
        <w:t>, University of Washington</w:t>
      </w:r>
    </w:p>
    <w:p w14:paraId="0B2FE546" w14:textId="071028C6" w:rsidR="0083770D" w:rsidRDefault="0083770D">
      <w:pPr>
        <w:pStyle w:val="FootnoteText"/>
      </w:pPr>
      <w:r>
        <w:rPr>
          <w:rStyle w:val="FootnoteReference"/>
        </w:rPr>
        <w:t>7</w:t>
      </w:r>
      <w:r>
        <w:t xml:space="preserve"> </w:t>
      </w:r>
      <w:r w:rsidR="00D5551E">
        <w:t>Chemical Engineering</w:t>
      </w:r>
      <w:r w:rsidR="005157FF">
        <w:t>, University of Washington</w:t>
      </w:r>
    </w:p>
    <w:p w14:paraId="30F2B336" w14:textId="61B98805" w:rsidR="00D5551E" w:rsidRDefault="004D49B4">
      <w:pPr>
        <w:pStyle w:val="FootnoteText"/>
      </w:pPr>
      <w:r>
        <w:rPr>
          <w:rStyle w:val="FootnoteReference"/>
        </w:rPr>
        <w:t>8</w:t>
      </w:r>
      <w:r w:rsidR="00D5551E">
        <w:t xml:space="preserve"> </w:t>
      </w:r>
      <w:r>
        <w:t>Oral Health Sciences</w:t>
      </w:r>
      <w:r w:rsidR="005157FF">
        <w:t>, University of Washington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2220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8652ED" w14:textId="2A49C522" w:rsidR="00416548" w:rsidRDefault="004165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9719D" w14:textId="77777777" w:rsidR="00416548" w:rsidRDefault="00416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28F"/>
    <w:multiLevelType w:val="hybridMultilevel"/>
    <w:tmpl w:val="4D5E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735B2"/>
    <w:multiLevelType w:val="hybridMultilevel"/>
    <w:tmpl w:val="BC30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85"/>
    <w:rsid w:val="00022FDC"/>
    <w:rsid w:val="000261C4"/>
    <w:rsid w:val="0003328A"/>
    <w:rsid w:val="00034EF9"/>
    <w:rsid w:val="00044640"/>
    <w:rsid w:val="000472CA"/>
    <w:rsid w:val="00057F7C"/>
    <w:rsid w:val="00060CCD"/>
    <w:rsid w:val="000621A9"/>
    <w:rsid w:val="0006244C"/>
    <w:rsid w:val="00062DFE"/>
    <w:rsid w:val="00096700"/>
    <w:rsid w:val="000B0362"/>
    <w:rsid w:val="000B389D"/>
    <w:rsid w:val="000C3FA6"/>
    <w:rsid w:val="000D4FBD"/>
    <w:rsid w:val="000D538F"/>
    <w:rsid w:val="000D5D5D"/>
    <w:rsid w:val="000D5FC8"/>
    <w:rsid w:val="000E25E0"/>
    <w:rsid w:val="000E3586"/>
    <w:rsid w:val="001013A2"/>
    <w:rsid w:val="00107A07"/>
    <w:rsid w:val="00111D06"/>
    <w:rsid w:val="00134E5C"/>
    <w:rsid w:val="0013660A"/>
    <w:rsid w:val="001429D6"/>
    <w:rsid w:val="00147D30"/>
    <w:rsid w:val="00164D30"/>
    <w:rsid w:val="00164F56"/>
    <w:rsid w:val="00165854"/>
    <w:rsid w:val="00165AE9"/>
    <w:rsid w:val="00172DFC"/>
    <w:rsid w:val="00175EE0"/>
    <w:rsid w:val="00196711"/>
    <w:rsid w:val="001A5118"/>
    <w:rsid w:val="001B7B19"/>
    <w:rsid w:val="001C49CB"/>
    <w:rsid w:val="001D10AE"/>
    <w:rsid w:val="001D3DA9"/>
    <w:rsid w:val="001D76ED"/>
    <w:rsid w:val="001E5FA1"/>
    <w:rsid w:val="001F04AB"/>
    <w:rsid w:val="001F1A73"/>
    <w:rsid w:val="001F5465"/>
    <w:rsid w:val="00205CA3"/>
    <w:rsid w:val="002231EE"/>
    <w:rsid w:val="00255E85"/>
    <w:rsid w:val="00270E6A"/>
    <w:rsid w:val="002759CC"/>
    <w:rsid w:val="00285557"/>
    <w:rsid w:val="00285C0D"/>
    <w:rsid w:val="00290290"/>
    <w:rsid w:val="002A26DC"/>
    <w:rsid w:val="002A2999"/>
    <w:rsid w:val="002A3358"/>
    <w:rsid w:val="002A7008"/>
    <w:rsid w:val="002B085F"/>
    <w:rsid w:val="002B1211"/>
    <w:rsid w:val="002C4A13"/>
    <w:rsid w:val="002D62D7"/>
    <w:rsid w:val="002E2891"/>
    <w:rsid w:val="002F48AD"/>
    <w:rsid w:val="00300924"/>
    <w:rsid w:val="00313473"/>
    <w:rsid w:val="00331688"/>
    <w:rsid w:val="003465A9"/>
    <w:rsid w:val="00346EFE"/>
    <w:rsid w:val="0035388F"/>
    <w:rsid w:val="00354CCD"/>
    <w:rsid w:val="00371E58"/>
    <w:rsid w:val="00373B40"/>
    <w:rsid w:val="00375F43"/>
    <w:rsid w:val="0037762A"/>
    <w:rsid w:val="00396CF0"/>
    <w:rsid w:val="003B1CDA"/>
    <w:rsid w:val="003B2712"/>
    <w:rsid w:val="003C09C0"/>
    <w:rsid w:val="003D04B3"/>
    <w:rsid w:val="003D0660"/>
    <w:rsid w:val="003D701D"/>
    <w:rsid w:val="003E6FC7"/>
    <w:rsid w:val="003F7C39"/>
    <w:rsid w:val="004015CB"/>
    <w:rsid w:val="004018A0"/>
    <w:rsid w:val="00402772"/>
    <w:rsid w:val="00416548"/>
    <w:rsid w:val="00420E01"/>
    <w:rsid w:val="00422DD6"/>
    <w:rsid w:val="00427C22"/>
    <w:rsid w:val="004459F6"/>
    <w:rsid w:val="004514DD"/>
    <w:rsid w:val="00462502"/>
    <w:rsid w:val="004846F2"/>
    <w:rsid w:val="00490B6A"/>
    <w:rsid w:val="00491EFC"/>
    <w:rsid w:val="004A7146"/>
    <w:rsid w:val="004C0AA0"/>
    <w:rsid w:val="004D49B4"/>
    <w:rsid w:val="004D5005"/>
    <w:rsid w:val="004F54A0"/>
    <w:rsid w:val="00510FD5"/>
    <w:rsid w:val="0051163D"/>
    <w:rsid w:val="00513D23"/>
    <w:rsid w:val="005157FF"/>
    <w:rsid w:val="00525576"/>
    <w:rsid w:val="00531B79"/>
    <w:rsid w:val="0053300A"/>
    <w:rsid w:val="00541372"/>
    <w:rsid w:val="00542248"/>
    <w:rsid w:val="00545B6A"/>
    <w:rsid w:val="00547FA3"/>
    <w:rsid w:val="00567730"/>
    <w:rsid w:val="0056779E"/>
    <w:rsid w:val="00582505"/>
    <w:rsid w:val="0058262B"/>
    <w:rsid w:val="005929A9"/>
    <w:rsid w:val="00594748"/>
    <w:rsid w:val="005B4799"/>
    <w:rsid w:val="005E247C"/>
    <w:rsid w:val="005F34CD"/>
    <w:rsid w:val="00614EEC"/>
    <w:rsid w:val="00616B7C"/>
    <w:rsid w:val="00625A8F"/>
    <w:rsid w:val="006349D7"/>
    <w:rsid w:val="006377C6"/>
    <w:rsid w:val="00644268"/>
    <w:rsid w:val="00654D74"/>
    <w:rsid w:val="00655999"/>
    <w:rsid w:val="00660D6C"/>
    <w:rsid w:val="00666E7A"/>
    <w:rsid w:val="00675B76"/>
    <w:rsid w:val="00684762"/>
    <w:rsid w:val="0068793F"/>
    <w:rsid w:val="0069562F"/>
    <w:rsid w:val="006A0590"/>
    <w:rsid w:val="006B330E"/>
    <w:rsid w:val="006C59DD"/>
    <w:rsid w:val="006C7867"/>
    <w:rsid w:val="006D18D6"/>
    <w:rsid w:val="006F05B7"/>
    <w:rsid w:val="006F2C4A"/>
    <w:rsid w:val="006F6694"/>
    <w:rsid w:val="006F7275"/>
    <w:rsid w:val="007537FE"/>
    <w:rsid w:val="007666E6"/>
    <w:rsid w:val="00772454"/>
    <w:rsid w:val="00781870"/>
    <w:rsid w:val="00794950"/>
    <w:rsid w:val="00794BF1"/>
    <w:rsid w:val="00794C4C"/>
    <w:rsid w:val="007B25C5"/>
    <w:rsid w:val="007B6114"/>
    <w:rsid w:val="007D0B46"/>
    <w:rsid w:val="007D0B9C"/>
    <w:rsid w:val="007D0FCC"/>
    <w:rsid w:val="007E1432"/>
    <w:rsid w:val="0083770D"/>
    <w:rsid w:val="00852035"/>
    <w:rsid w:val="00863347"/>
    <w:rsid w:val="00865481"/>
    <w:rsid w:val="0088082B"/>
    <w:rsid w:val="00880E35"/>
    <w:rsid w:val="008B46FC"/>
    <w:rsid w:val="008B4923"/>
    <w:rsid w:val="008C5A81"/>
    <w:rsid w:val="008D0A49"/>
    <w:rsid w:val="008D54DD"/>
    <w:rsid w:val="008E274B"/>
    <w:rsid w:val="00912372"/>
    <w:rsid w:val="009177B5"/>
    <w:rsid w:val="009300BF"/>
    <w:rsid w:val="009349CA"/>
    <w:rsid w:val="00943CF7"/>
    <w:rsid w:val="009531D7"/>
    <w:rsid w:val="00954CD1"/>
    <w:rsid w:val="009642F1"/>
    <w:rsid w:val="00965B35"/>
    <w:rsid w:val="009717B7"/>
    <w:rsid w:val="00985B89"/>
    <w:rsid w:val="00986E2C"/>
    <w:rsid w:val="009A5730"/>
    <w:rsid w:val="009A67BE"/>
    <w:rsid w:val="009B1D48"/>
    <w:rsid w:val="009B38F6"/>
    <w:rsid w:val="009B582C"/>
    <w:rsid w:val="009C2133"/>
    <w:rsid w:val="009C7FAB"/>
    <w:rsid w:val="009D5566"/>
    <w:rsid w:val="00A042F1"/>
    <w:rsid w:val="00A103F2"/>
    <w:rsid w:val="00A13E97"/>
    <w:rsid w:val="00A31002"/>
    <w:rsid w:val="00A34FD1"/>
    <w:rsid w:val="00A36A96"/>
    <w:rsid w:val="00A36F2E"/>
    <w:rsid w:val="00A466CD"/>
    <w:rsid w:val="00A56675"/>
    <w:rsid w:val="00A56B73"/>
    <w:rsid w:val="00A63933"/>
    <w:rsid w:val="00A66429"/>
    <w:rsid w:val="00A753A4"/>
    <w:rsid w:val="00A82200"/>
    <w:rsid w:val="00A845BD"/>
    <w:rsid w:val="00A87E7D"/>
    <w:rsid w:val="00A90395"/>
    <w:rsid w:val="00A91BE4"/>
    <w:rsid w:val="00AB2121"/>
    <w:rsid w:val="00AB39C9"/>
    <w:rsid w:val="00AB4823"/>
    <w:rsid w:val="00AD228A"/>
    <w:rsid w:val="00AF6AE9"/>
    <w:rsid w:val="00B0752E"/>
    <w:rsid w:val="00B410DC"/>
    <w:rsid w:val="00B51B27"/>
    <w:rsid w:val="00B536B4"/>
    <w:rsid w:val="00B55113"/>
    <w:rsid w:val="00B57143"/>
    <w:rsid w:val="00B77D9A"/>
    <w:rsid w:val="00B81526"/>
    <w:rsid w:val="00B83B7C"/>
    <w:rsid w:val="00BE4C40"/>
    <w:rsid w:val="00BF511E"/>
    <w:rsid w:val="00C009B9"/>
    <w:rsid w:val="00C06A72"/>
    <w:rsid w:val="00C33611"/>
    <w:rsid w:val="00C34B3E"/>
    <w:rsid w:val="00C54973"/>
    <w:rsid w:val="00C675D8"/>
    <w:rsid w:val="00C92E63"/>
    <w:rsid w:val="00CA09C1"/>
    <w:rsid w:val="00CA4B14"/>
    <w:rsid w:val="00CB146A"/>
    <w:rsid w:val="00CC08A5"/>
    <w:rsid w:val="00CD4535"/>
    <w:rsid w:val="00CE6017"/>
    <w:rsid w:val="00CF7C2E"/>
    <w:rsid w:val="00D110CB"/>
    <w:rsid w:val="00D14AB3"/>
    <w:rsid w:val="00D17ECC"/>
    <w:rsid w:val="00D22BA2"/>
    <w:rsid w:val="00D248A8"/>
    <w:rsid w:val="00D5551E"/>
    <w:rsid w:val="00D57548"/>
    <w:rsid w:val="00D65C99"/>
    <w:rsid w:val="00D704B2"/>
    <w:rsid w:val="00D74389"/>
    <w:rsid w:val="00D75A1A"/>
    <w:rsid w:val="00D84EA4"/>
    <w:rsid w:val="00D87093"/>
    <w:rsid w:val="00D96B48"/>
    <w:rsid w:val="00DA0F5A"/>
    <w:rsid w:val="00DC239F"/>
    <w:rsid w:val="00DC427A"/>
    <w:rsid w:val="00DC6F8E"/>
    <w:rsid w:val="00DE174E"/>
    <w:rsid w:val="00DE41DC"/>
    <w:rsid w:val="00DE7E58"/>
    <w:rsid w:val="00DF1BCD"/>
    <w:rsid w:val="00DF40E3"/>
    <w:rsid w:val="00DF6139"/>
    <w:rsid w:val="00DF7E66"/>
    <w:rsid w:val="00E03121"/>
    <w:rsid w:val="00E24AB7"/>
    <w:rsid w:val="00E300C0"/>
    <w:rsid w:val="00E40575"/>
    <w:rsid w:val="00E40A9E"/>
    <w:rsid w:val="00E419A5"/>
    <w:rsid w:val="00E507B8"/>
    <w:rsid w:val="00E516E5"/>
    <w:rsid w:val="00E5350D"/>
    <w:rsid w:val="00E94EEF"/>
    <w:rsid w:val="00EA3E2B"/>
    <w:rsid w:val="00EA5B6B"/>
    <w:rsid w:val="00EB2514"/>
    <w:rsid w:val="00EB2892"/>
    <w:rsid w:val="00EB4C6A"/>
    <w:rsid w:val="00EB5B01"/>
    <w:rsid w:val="00EC0A7C"/>
    <w:rsid w:val="00EC2E71"/>
    <w:rsid w:val="00EC61AC"/>
    <w:rsid w:val="00EE137A"/>
    <w:rsid w:val="00EE57B2"/>
    <w:rsid w:val="00F13B3C"/>
    <w:rsid w:val="00F157D5"/>
    <w:rsid w:val="00F1742A"/>
    <w:rsid w:val="00F50A85"/>
    <w:rsid w:val="00F5346C"/>
    <w:rsid w:val="00F565AC"/>
    <w:rsid w:val="00F7331D"/>
    <w:rsid w:val="00F75BFE"/>
    <w:rsid w:val="00F77DF1"/>
    <w:rsid w:val="00F916E5"/>
    <w:rsid w:val="00F954A5"/>
    <w:rsid w:val="00FA3FE4"/>
    <w:rsid w:val="00FA5963"/>
    <w:rsid w:val="00FA5E43"/>
    <w:rsid w:val="00FB2D77"/>
    <w:rsid w:val="00FB54F3"/>
    <w:rsid w:val="00FC19D8"/>
    <w:rsid w:val="00FC632D"/>
    <w:rsid w:val="00FD20A0"/>
    <w:rsid w:val="00FE280B"/>
    <w:rsid w:val="00FE60EA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417D"/>
  <w15:chartTrackingRefBased/>
  <w15:docId w15:val="{E5F73671-7225-4D34-BACE-8DB316D2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48"/>
  </w:style>
  <w:style w:type="paragraph" w:styleId="Footer">
    <w:name w:val="footer"/>
    <w:basedOn w:val="Normal"/>
    <w:link w:val="FooterChar"/>
    <w:uiPriority w:val="99"/>
    <w:unhideWhenUsed/>
    <w:rsid w:val="0041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48"/>
  </w:style>
  <w:style w:type="paragraph" w:styleId="ListParagraph">
    <w:name w:val="List Paragraph"/>
    <w:basedOn w:val="Normal"/>
    <w:uiPriority w:val="34"/>
    <w:qFormat/>
    <w:rsid w:val="007D0FCC"/>
    <w:pPr>
      <w:ind w:left="720"/>
      <w:contextualSpacing/>
    </w:pPr>
  </w:style>
  <w:style w:type="paragraph" w:styleId="NoSpacing">
    <w:name w:val="No Spacing"/>
    <w:uiPriority w:val="1"/>
    <w:qFormat/>
    <w:rsid w:val="00E40A9E"/>
    <w:pPr>
      <w:spacing w:after="0" w:line="240" w:lineRule="auto"/>
    </w:pPr>
  </w:style>
  <w:style w:type="table" w:styleId="TableGrid">
    <w:name w:val="Table Grid"/>
    <w:basedOn w:val="TableNormal"/>
    <w:uiPriority w:val="39"/>
    <w:rsid w:val="003D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633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3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3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9DEFA-E971-4805-B558-89526DC2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Corbo</dc:creator>
  <cp:keywords/>
  <dc:description/>
  <cp:lastModifiedBy>David Corbo</cp:lastModifiedBy>
  <cp:revision>302</cp:revision>
  <dcterms:created xsi:type="dcterms:W3CDTF">2020-03-17T21:49:00Z</dcterms:created>
  <dcterms:modified xsi:type="dcterms:W3CDTF">2020-03-18T06:13:00Z</dcterms:modified>
</cp:coreProperties>
</file>