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r>
        <w:t xml:space="preserve">bvisness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r>
        <w:t>Windows.h</w:t>
      </w:r>
    </w:p>
    <w:p w14:paraId="21FE480A" w14:textId="4474E8D1" w:rsidR="00E760DB" w:rsidRDefault="00E760DB" w:rsidP="00F51F94">
      <w:r>
        <w:t>How do reference ?!</w:t>
      </w:r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581EE92F" w14:textId="06797B52" w:rsidR="004B05A7" w:rsidRPr="00D13047" w:rsidRDefault="004B05A7" w:rsidP="00F51F94">
      <w:r>
        <w:t>Please add engine architecture reference for pool allocator</w:t>
      </w:r>
    </w:p>
    <w:sectPr w:rsidR="004B05A7" w:rsidRPr="00D1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272689"/>
    <w:rsid w:val="004B05A7"/>
    <w:rsid w:val="004D2EE8"/>
    <w:rsid w:val="005419DB"/>
    <w:rsid w:val="005865AD"/>
    <w:rsid w:val="005E4755"/>
    <w:rsid w:val="007C65D9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12</cp:revision>
  <dcterms:created xsi:type="dcterms:W3CDTF">2024-10-24T17:55:00Z</dcterms:created>
  <dcterms:modified xsi:type="dcterms:W3CDTF">2024-12-12T21:22:00Z</dcterms:modified>
</cp:coreProperties>
</file>