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40"/>
          <w:shd w:fill="FFFFFF" w:val="clear"/>
        </w:rPr>
        <w:t xml:space="preserve">Andre S. Contreras</w:t>
      </w: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br/>
        <w:t xml:space="preserve">5415 Cottonwood Trail Way Antioch CA 94531 (925) 481-9943  as.cont@outlook.com</w:t>
      </w:r>
      <w:r>
        <w:rPr>
          <w:rFonts w:ascii="Open Sans" w:hAnsi="Open Sans" w:cs="Open Sans" w:eastAsia="Open Sans"/>
          <w:color w:val="FF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300" w:after="30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  <w:t xml:space="preserve">Objective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8"/>
          <w:shd w:fill="FFFFFF" w:val="clear"/>
        </w:rPr>
        <w:t xml:space="preserve">:</w:t>
      </w:r>
      <w:r>
        <w:rPr>
          <w:rFonts w:ascii="Open Sans" w:hAnsi="Open Sans" w:cs="Open Sans" w:eastAsia="Open Sans"/>
          <w:color w:val="333333"/>
          <w:spacing w:val="0"/>
          <w:position w:val="0"/>
          <w:sz w:val="18"/>
          <w:shd w:fill="FFFFFF" w:val="clear"/>
        </w:rPr>
        <w:t xml:space="preserve"> </w:t>
      </w: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Highly motivated individual seeking entry level position </w:t>
      </w:r>
      <w:r>
        <w:rPr>
          <w:rFonts w:ascii="Open Sans" w:hAnsi="Open Sans" w:cs="Open Sans" w:eastAsia="Open Sans"/>
          <w:color w:val="000000"/>
          <w:spacing w:val="0"/>
          <w:position w:val="0"/>
          <w:sz w:val="21"/>
          <w:shd w:fill="FFFFFF" w:val="clear"/>
        </w:rPr>
        <w:t xml:space="preserve">as a IT Technician </w:t>
      </w: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with opportunity for growth and advancement.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Certified Google IT Technical Support Professional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73A3C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73A3C"/>
          <w:spacing w:val="0"/>
          <w:position w:val="0"/>
          <w:sz w:val="21"/>
          <w:shd w:fill="FFFFFF" w:val="clear"/>
        </w:rPr>
        <w:t xml:space="preserve">Utilize common problem-solving methodologies and soft skills in an IT setting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Excellent Customer Service and Support skills in multiple fields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Managed and processed Loan underwriting for California Check Cashing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Proficient in Microsoft Excel, Word, PowerPoint, and Outlook.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Highly Data entry experience with typing skills 70 wpm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Excellent verbal and written communication skills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Avid learner, natural team player and communicator in English and Spanish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2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  <w:t xml:space="preserve">Education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High School Diploma, Liberty High School, Brentwood, Ca.   2007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Heald College </w:t>
      </w: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 2009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Los Medanos Colleges LMC- 2010-2012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  <w:t xml:space="preserve">Professional Training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Certified Google IT Support Professional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1"/>
          <w:shd w:fill="FFFFFF" w:val="clear"/>
        </w:rPr>
        <w:t xml:space="preserve">– March 2020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1"/>
          <w:shd w:fill="FFFFFF" w:val="clear"/>
        </w:rPr>
        <w:t xml:space="preserve">.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Customer Service and Technical Support Fundamentals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Computer Networking and Troubleshooting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Physical and Wireless Networking, LAN, WAN, PAN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Cloud computing and virtualization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User account, Network, System Administration and IT infrastructure services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Windows OS and Linux OS installation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IT security and encryption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   CompTIA Network+ce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 August 2020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Network protocols, TCP/IP Communications, OSI Model, DNS, DHCP.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Troubleshooting physical and wireless networks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Cable/Wireless solutions and Mobile Networking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Managing Networks, firewalls and systems monitoring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Network Security and Operations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Understanding routers, switches, firewalls and IDS/IPS devices</w:t>
      </w:r>
    </w:p>
    <w:p>
      <w:pPr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4"/>
          <w:shd w:fill="FFFFFF" w:val="clear"/>
        </w:rPr>
        <w:t xml:space="preserve">Computer and Software skills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Researched, designed and custom-built business and gaming computers, including installation of hardware, OS business and security applications (O365 and Antivirus)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auto" w:val="clear"/>
        </w:rPr>
        <w:t xml:space="preserve">Windows/Linux OS, hardware, software, iPhone, iPad and Android devices.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auto" w:val="clear"/>
        </w:rPr>
        <w:t xml:space="preserve">MS Office 365 Excel, Word, PowerPoint, and Outlook.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18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8"/>
          <w:shd w:fill="FFFFFF" w:val="clear"/>
        </w:rPr>
        <w:t xml:space="preserve">Experience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-24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DVC/LMC Custodian, Contra Costa College School District. Pleasant Hill, CA 01/2017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 11/2019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Responsible for cleaning and sanitizing cafeteria, classrooms, and restrooms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Swept, mapped floors, wiped clean counters, tables and sanitized restrooms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Trained team members on cleaning, maintenance and safety procedures.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Collaborated with team on large clean-up projects and events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Utilized and maintained cleaning equipment to ensure safe operation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-24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Print Shop Assistant, Los Medanos College, Pittsburg Ca. 01/2016 -01/2017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Assisted Teachers, staff and students with printing reports, fliers and posters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Performed minor printing repairs and refilled ink as needed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Cleaned working area and secured printers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-24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Loan Underwriter, California Check Cashing, Concord CA. 01/2015 -01/2016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Assisted customers on filling out loan applications while focusing on data privacy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Analyzed and reviewed credit reports to determine loan affordability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Detailed review and verification of customer’s financial qualifications for loans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Facilitated discussions with customers to address loan default and alternative plans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Developed customized loan to ensure payment of loan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Trained team members on tools, and procedures to review and approve loans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-24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Gas Station Attendant / Customer Service, Shell Corp, Pittsburg CA. 01/2014 -01/2015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Provided customer service for self-serve gas stations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Process payments on gas purchase and other products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Performed inventory and stocking of products 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Monitored security cameras and responded to crime on premise.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-24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1"/>
          <w:shd w:fill="FFFFFF" w:val="clear"/>
        </w:rPr>
        <w:t xml:space="preserve">Southwest Key Program, Pleasant Hill CA. 01/2013 -01/2014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Developed authored documentation for ESL program for non-English speaking children (ages)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Provided English to Spanish translation of letters, fliers and procedures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On-boarded and inspired children to meet in-house rules and regulations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  <w:t xml:space="preserve">Monitored children to ensure their safety and well-being.</w:t>
      </w:r>
    </w:p>
    <w:p>
      <w:pPr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