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drawing>
          <wp:inline xmlns:a="http://schemas.openxmlformats.org/drawingml/2006/main" xmlns:pic="http://schemas.openxmlformats.org/drawingml/2006/picture">
            <wp:extent cx="1800000" cy="747541"/>
            <wp:docPr id="1" name="Picture 1"/>
            <wp:cNvGraphicFramePr>
              <a:graphicFrameLocks noChangeAspect="1"/>
            </wp:cNvGraphicFramePr>
            <a:graphic>
              <a:graphicData uri="http://schemas.openxmlformats.org/drawingml/2006/picture">
                <pic:pic>
                  <pic:nvPicPr>
                    <pic:cNvPr id="0" name="logo_telefan.png"/>
                    <pic:cNvPicPr/>
                  </pic:nvPicPr>
                  <pic:blipFill>
                    <a:blip r:embed="rId9"/>
                    <a:stretch>
                      <a:fillRect/>
                    </a:stretch>
                  </pic:blipFill>
                  <pic:spPr>
                    <a:xfrm>
                      <a:off x="0" y="0"/>
                      <a:ext cx="1800000" cy="747541"/>
                    </a:xfrm>
                    <a:prstGeom prst="rect"/>
                  </pic:spPr>
                </pic:pic>
              </a:graphicData>
            </a:graphic>
          </wp:inline>
        </w:drawing>
      </w:r>
    </w:p>
    <w:p>
      <w:pPr>
        <w:spacing w:before="120" w:after="800"/>
        <w:pBdr>
          <w:bottom w:val="single" w:sz="12" w:space="1" w:color="E85A14"/>
        </w:pBdr>
      </w:pPr>
    </w:p>
    <w:p>
      <w:pPr>
        <w:spacing w:after="160"/>
        <w:jc w:val="left"/>
      </w:pPr>
      <w:r>
        <w:rPr>
          <w:b/>
          <w:color w:val="E85A14"/>
          <w:sz w:val="22"/>
        </w:rPr>
        <w:t>Document 3 / 3</w:t>
      </w:r>
    </w:p>
    <w:p>
      <w:pPr>
        <w:spacing w:after="120"/>
        <w:jc w:val="left"/>
      </w:pPr>
      <w:r>
        <w:rPr>
          <w:b/>
          <w:color w:val="1A1A2E"/>
          <w:sz w:val="52"/>
        </w:rPr>
        <w:t>Documentation Analytique</w:t>
      </w:r>
    </w:p>
    <w:p>
      <w:pPr>
        <w:spacing w:after="1200"/>
        <w:jc w:val="left"/>
      </w:pPr>
      <w:r>
        <w:rPr>
          <w:color w:val="6B7280"/>
          <w:sz w:val="26"/>
        </w:rPr>
        <w:t>Justification du choix des indicateurs – Pertinence industrielle</w:t>
      </w:r>
    </w:p>
    <w:tbl>
      <w:tblPr>
        <w:tblStyle w:val="TableGrid"/>
        <w:tblW w:type="auto" w:w="0"/>
        <w:tblLook w:firstColumn="1" w:firstRow="1" w:lastColumn="0" w:lastRow="0" w:noHBand="0" w:noVBand="1" w:val="04A0"/>
      </w:tblPr>
      <w:tblGrid>
        <w:gridCol w:w="4533"/>
        <w:gridCol w:w="4533"/>
      </w:tblGrid>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Projet</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Dashboard de Pilotage Industriel MES 4.0</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Groupe</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n°7 – Arnaud Cordier · Corentin Seu · Alem Nadji</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Formation</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BUT Science des Données – IUT</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Livraison</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02 avril 2026</w:t>
            </w:r>
          </w:p>
        </w:tc>
      </w:tr>
      <w:tr>
        <w:tc>
          <w:tcPr>
            <w:tcW w:type="dxa" w:w="1984"/>
            <w:shd w:val="clear" w:color="auto" w:fill="F3F4F6"/>
            <w:tcBorders>
              <w:top w:val="single" w:sz="4" w:space="0" w:color="D1D5DB"/>
              <w:left w:val="single" w:sz="4" w:space="0" w:color="D1D5DB"/>
              <w:bottom w:val="single" w:sz="4" w:space="0" w:color="D1D5DB"/>
              <w:right w:val="single" w:sz="4" w:space="0" w:color="D1D5DB"/>
            </w:tcBorders>
          </w:tcPr>
          <w:p>
            <w:r/>
            <w:r>
              <w:rPr>
                <w:b/>
                <w:color w:val="6B7280"/>
                <w:sz w:val="18"/>
              </w:rPr>
              <w:t>Évaluation</w:t>
            </w:r>
          </w:p>
        </w:tc>
        <w:tc>
          <w:tcPr>
            <w:tcW w:type="dxa" w:w="4533"/>
            <w:shd w:val="clear" w:color="auto" w:fill="FFFFFF"/>
            <w:tcBorders>
              <w:top w:val="single" w:sz="4" w:space="0" w:color="D1D5DB"/>
              <w:left w:val="single" w:sz="4" w:space="0" w:color="D1D5DB"/>
              <w:bottom w:val="single" w:sz="4" w:space="0" w:color="D1D5DB"/>
              <w:right w:val="single" w:sz="4" w:space="0" w:color="D1D5DB"/>
            </w:tcBorders>
          </w:tcPr>
          <w:p>
            <w:r/>
            <w:r>
              <w:rPr>
                <w:color w:val="1A1A2E"/>
                <w:sz w:val="18"/>
              </w:rPr>
              <w:t>03 avril 2026</w:t>
            </w:r>
          </w:p>
        </w:tc>
      </w:tr>
    </w:tbl>
    <w:p>
      <w:r>
        <w:br w:type="page"/>
      </w:r>
    </w:p>
    <w:p>
      <w:pPr>
        <w:spacing w:before="360" w:after="120"/>
        <w:pBdr>
          <w:bottom w:val="single" w:sz="6" w:space="4" w:color="E85A14"/>
        </w:pBdr>
      </w:pPr>
      <w:r>
        <w:rPr>
          <w:b/>
          <w:color w:val="1A1A2E"/>
          <w:sz w:val="28"/>
        </w:rPr>
        <w:t>Table des matières</w:t>
      </w:r>
    </w:p>
    <w:p>
      <w:pPr>
        <w:spacing w:after="40"/>
      </w:pPr>
      <w:r>
        <w:rPr>
          <w:color w:val="1A1A2E"/>
          <w:sz w:val="20"/>
        </w:rPr>
        <w:t xml:space="preserve">  1.  Contexte industriel</w:t>
      </w:r>
    </w:p>
    <w:p>
      <w:pPr>
        <w:spacing w:after="40"/>
      </w:pPr>
      <w:r>
        <w:rPr>
          <w:color w:val="1A1A2E"/>
          <w:sz w:val="20"/>
        </w:rPr>
        <w:t xml:space="preserve">  2.  Méthodologie de sélection des KPIs</w:t>
      </w:r>
    </w:p>
    <w:p>
      <w:pPr>
        <w:spacing w:after="40"/>
      </w:pPr>
      <w:r>
        <w:rPr>
          <w:color w:val="1A1A2E"/>
          <w:sz w:val="20"/>
        </w:rPr>
        <w:t xml:space="preserve">  3.  KPIs de Production – KPI 1 à 4</w:t>
      </w:r>
    </w:p>
    <w:p>
      <w:pPr>
        <w:spacing w:after="40"/>
      </w:pPr>
      <w:r>
        <w:rPr>
          <w:color w:val="1A1A2E"/>
          <w:sz w:val="20"/>
        </w:rPr>
        <w:t xml:space="preserve">  4.  KPIs de Qualité – KPI 5 à 9</w:t>
      </w:r>
    </w:p>
    <w:p>
      <w:pPr>
        <w:spacing w:after="40"/>
      </w:pPr>
      <w:r>
        <w:rPr>
          <w:color w:val="1A1A2E"/>
          <w:sz w:val="20"/>
        </w:rPr>
        <w:t xml:space="preserve">  5.  KPI Machines – KPI 10</w:t>
      </w:r>
    </w:p>
    <w:p>
      <w:pPr>
        <w:spacing w:after="40"/>
      </w:pPr>
      <w:r>
        <w:rPr>
          <w:color w:val="1A1A2E"/>
          <w:sz w:val="20"/>
        </w:rPr>
        <w:t xml:space="preserve">  6.  KPIs de Maintenance – KPI 11 et 12</w:t>
      </w:r>
    </w:p>
    <w:p>
      <w:pPr>
        <w:spacing w:after="40"/>
      </w:pPr>
      <w:r>
        <w:rPr>
          <w:color w:val="1A1A2E"/>
          <w:sz w:val="20"/>
        </w:rPr>
        <w:t xml:space="preserve">  7.  Sources de données et pertinence</w:t>
      </w:r>
    </w:p>
    <w:p>
      <w:pPr>
        <w:spacing w:after="40"/>
      </w:pPr>
      <w:r>
        <w:rPr>
          <w:color w:val="1A1A2E"/>
          <w:sz w:val="20"/>
        </w:rPr>
        <w:t xml:space="preserve">  8.  Conclusion</w:t>
      </w:r>
    </w:p>
    <w:p/>
    <w:p>
      <w:pPr>
        <w:spacing w:before="360" w:after="120"/>
        <w:pBdr>
          <w:bottom w:val="single" w:sz="6" w:space="4" w:color="E85A14"/>
        </w:pBdr>
      </w:pPr>
      <w:r>
        <w:rPr>
          <w:b/>
          <w:color w:val="1A1A2E"/>
          <w:sz w:val="28"/>
        </w:rPr>
        <w:t>1.  Contexte industriel</w:t>
      </w:r>
    </w:p>
    <w:p>
      <w:pPr>
        <w:spacing w:after="80"/>
      </w:pPr>
      <w:r>
        <w:rPr>
          <w:color w:val="1A1A2E"/>
          <w:sz w:val="20"/>
        </w:rPr>
        <w:t>T'Elefan est une entreprise de fabrication de téléphones implantée à Bron (Lyon). Sa ligne de production repose sur la plateforme pédagogique Festo MES 4.0, un Système d'Exécution de la Production (MES — Manufacturing Execution System) qui orchestre les ordres de fabrication, suit l'état de chaque machine et enregistre l'ensemble des événements de production en temps réel.</w:t>
      </w:r>
    </w:p>
    <w:p>
      <w:pPr>
        <w:spacing w:after="80"/>
      </w:pPr>
      <w:r>
        <w:rPr>
          <w:color w:val="1A1A2E"/>
          <w:sz w:val="20"/>
        </w:rPr>
        <w:t>Dans ce contexte, le pilotage de la performance industrielle nécessite une visibilité en continu sur quatre dimensions fondamentales : la production (flux d'ordres), la qualité (taux de rebuts et d'erreurs), la disponibilité des machines (pannes, temps d'arrêt) et la maintenance (occupation des tampons, consommation énergétique).</w:t>
      </w:r>
    </w:p>
    <w:p>
      <w:pPr>
        <w:spacing w:after="80"/>
      </w:pPr>
      <w:r>
        <w:rPr>
          <w:color w:val="1A1A2E"/>
          <w:sz w:val="20"/>
        </w:rPr>
        <w:t>Le dashboard MES 4.0 répond à ce besoin en proposant 12 indicateurs clés (KPIs) répartis sur cinq vues, exploitant la base de données MariaDB du MES ainsi que les données brutes des capteurs physiques de la ligne (fichiers CSV Robotino).</w:t>
      </w:r>
    </w:p>
    <w:p>
      <w:pPr>
        <w:spacing w:before="360" w:after="120"/>
        <w:pBdr>
          <w:bottom w:val="single" w:sz="6" w:space="4" w:color="E85A14"/>
        </w:pBdr>
      </w:pPr>
      <w:r>
        <w:rPr>
          <w:b/>
          <w:color w:val="1A1A2E"/>
          <w:sz w:val="28"/>
        </w:rPr>
        <w:t>2.  Méthodologie de sélection des KPIs</w:t>
      </w:r>
    </w:p>
    <w:p>
      <w:pPr>
        <w:spacing w:after="80"/>
      </w:pPr>
      <w:r>
        <w:rPr>
          <w:color w:val="1A1A2E"/>
          <w:sz w:val="20"/>
        </w:rPr>
        <w:t>Le choix des indicateurs s'est appuyé sur trois critères complémentaires :</w:t>
      </w:r>
    </w:p>
    <w:p>
      <w:pPr>
        <w:pStyle w:val="ListBullet"/>
        <w:spacing w:after="40"/>
        <w:ind w:left="283"/>
      </w:pPr>
      <w:r>
        <w:rPr>
          <w:color w:val="1A1A2E"/>
          <w:sz w:val="20"/>
        </w:rPr>
        <w:t>Disponibilité des données : chaque KPI est calculable à partir des tables effectivement renseignées dans la base Festo MES 4.0 (pas de colonne vide, pas de table absente).</w:t>
      </w:r>
    </w:p>
    <w:p>
      <w:pPr>
        <w:pStyle w:val="ListBullet"/>
        <w:spacing w:after="40"/>
        <w:ind w:left="283"/>
      </w:pPr>
      <w:r>
        <w:rPr>
          <w:color w:val="1A1A2E"/>
          <w:sz w:val="20"/>
        </w:rPr>
        <w:t>Pertinence terrain : les indicateurs retenus correspondent aux métriques standards de l'industrie manufacturière (normes ISO 22400, OEE/TRS, MTBF/MTTR) et sont directement exploitables par un responsable de production.</w:t>
      </w:r>
    </w:p>
    <w:p>
      <w:pPr>
        <w:pStyle w:val="ListBullet"/>
        <w:spacing w:after="40"/>
        <w:ind w:left="283"/>
      </w:pPr>
      <w:r>
        <w:rPr>
          <w:color w:val="1A1A2E"/>
          <w:sz w:val="20"/>
        </w:rPr>
        <w:t>Couverture du cycle de vie produit : les KPIs couvrent l'ensemble du flux, de la réception d'un ordre de fabrication jusqu'à la livraison du produit fini, en passant par les postes de transformation et de contrôle qualité.</w:t>
      </w:r>
    </w:p>
    <w:p>
      <w:pPr>
        <w:spacing w:after="80"/>
      </w:pPr>
      <w:r>
        <w:rPr>
          <w:color w:val="1A1A2E"/>
          <w:sz w:val="20"/>
        </w:rPr>
        <w:t>Les indicateurs ont également été ajustés au cours du projet suite aux mesures réelles effectuées sur la ligne (sprint 3). Par exemple, le KPI 1 a été corrigé pour compter les produits distincts (ONo/OPos) plutôt que le nombre brut d'OF, reflétant la réalité d'un OF pouvant contenir plusieurs produits simultanément.</w:t>
      </w:r>
    </w:p>
    <w:p>
      <w:pPr>
        <w:spacing w:before="360" w:after="120"/>
        <w:pBdr>
          <w:bottom w:val="single" w:sz="6" w:space="4" w:color="E85A14"/>
        </w:pBdr>
      </w:pPr>
      <w:r>
        <w:rPr>
          <w:b/>
          <w:color w:val="1A1A2E"/>
          <w:sz w:val="28"/>
        </w:rPr>
        <w:t>3.  KPIs de Production – KPI 1 à 4</w:t>
      </w:r>
    </w:p>
    <w:p>
      <w:pPr>
        <w:spacing w:before="240" w:after="80"/>
      </w:pPr>
      <w:r>
        <w:rPr>
          <w:b/>
          <w:color w:val="E85A14"/>
          <w:sz w:val="22"/>
        </w:rPr>
        <w:t>KPI 1 – Produits en cours de production</w:t>
      </w:r>
    </w:p>
    <w:p>
      <w:pPr>
        <w:spacing w:after="80"/>
      </w:pPr>
      <w:r>
        <w:rPr>
          <w:color w:val="1A1A2E"/>
          <w:sz w:val="20"/>
        </w:rPr>
        <w:t>Cet indicateur mesure le nombre de produits distincts dont au moins une étape de fabrication est actuellement active (Active=1 dans tblstep). Un produit est identifié par la paire (ONo, OPos), permettant de distinguer les différentes positions d'un même ordre de fabrication.</w:t>
      </w:r>
    </w:p>
    <w:p>
      <w:pPr>
        <w:spacing w:after="80"/>
      </w:pPr>
      <w:r>
        <w:rPr>
          <w:color w:val="1A1A2E"/>
          <w:sz w:val="20"/>
        </w:rPr>
        <w:t>Pertinence : connaître en temps réel la charge de la ligne permet au responsable de production de détecter immédiatement un arrêt inopiné ou une surcharge. Ce KPI constitue le premier regard sur l'état vivant de la ligne.</w:t>
      </w:r>
    </w:p>
    <w:p>
      <w:pPr>
        <w:spacing w:before="240" w:after="80"/>
      </w:pPr>
      <w:r>
        <w:rPr>
          <w:b/>
          <w:color w:val="E85A14"/>
          <w:sz w:val="22"/>
        </w:rPr>
        <w:t>KPI 2 – Lead Time (Écart Prévu/Réel)</w:t>
      </w:r>
    </w:p>
    <w:p>
      <w:pPr>
        <w:spacing w:after="80"/>
      </w:pPr>
      <w:r>
        <w:rPr>
          <w:color w:val="1A1A2E"/>
          <w:sz w:val="20"/>
        </w:rPr>
        <w:t>Le Lead Time mesure l'écart, en secondes puis converti en minutes, entre la durée planifiée et la durée réelle de chaque ordre de fabrication. Un écart positif indique un retard ; un écart négatif, une avance sur planning.</w:t>
      </w:r>
    </w:p>
    <w:p>
      <w:pPr>
        <w:spacing w:after="80"/>
      </w:pPr>
      <w:r>
        <w:rPr>
          <w:color w:val="1A1A2E"/>
          <w:sz w:val="20"/>
        </w:rPr>
        <w:t>Pertinence : le respect des délais est une exigence fondamentale de la gestion de production. Un retard chronique sur les mêmes étapes signale un goulot d'étranglement ou un sous-dimensionnement des ressources. La visualisation bi-couleur (rouge/vert) permet une lecture immédiate des écarts.</w:t>
      </w:r>
    </w:p>
    <w:p>
      <w:pPr>
        <w:spacing w:before="240" w:after="80"/>
      </w:pPr>
      <w:r>
        <w:rPr>
          <w:b/>
          <w:color w:val="E85A14"/>
          <w:sz w:val="22"/>
        </w:rPr>
        <w:t>KPI 3 – Avancement des OF (Top 3 FIFO)</w:t>
      </w:r>
    </w:p>
    <w:p>
      <w:pPr>
        <w:spacing w:after="80"/>
      </w:pPr>
      <w:r>
        <w:rPr>
          <w:color w:val="1A1A2E"/>
          <w:sz w:val="20"/>
        </w:rPr>
        <w:t>Cet indicateur présente le taux d'avancement des trois ordres de fabrication les plus anciens (logique FIFO — First In, First Out). Le taux est calculé en divisant le nombre de produits terminés par le nombre total de produits de l'ordre.</w:t>
      </w:r>
    </w:p>
    <w:p>
      <w:pPr>
        <w:spacing w:after="80"/>
      </w:pPr>
      <w:r>
        <w:rPr>
          <w:color w:val="1A1A2E"/>
          <w:sz w:val="20"/>
        </w:rPr>
        <w:t>Pertinence : le principe FIFO garantit la livraison dans l'ordre d'arrivée des commandes clients. Surveiller les 3 premiers ordres permet de s'assurer qu'aucun ordre prioritaire ne stagne en production.</w:t>
      </w:r>
    </w:p>
    <w:p>
      <w:pPr>
        <w:spacing w:before="240" w:after="80"/>
      </w:pPr>
      <w:r>
        <w:rPr>
          <w:b/>
          <w:color w:val="E85A14"/>
          <w:sz w:val="22"/>
        </w:rPr>
        <w:t>KPI 4 – OF terminés par jour</w:t>
      </w:r>
    </w:p>
    <w:p>
      <w:pPr>
        <w:spacing w:after="80"/>
      </w:pPr>
      <w:r>
        <w:rPr>
          <w:color w:val="1A1A2E"/>
          <w:sz w:val="20"/>
        </w:rPr>
        <w:t>Ce KPI comptabilise le nombre d'ordres de fabrication terminés par jour calendaire. La visualisation combine une courbe cumulée (vision tendancielle) et des barres journalières (vision opérationnelle quotidienne).</w:t>
      </w:r>
    </w:p>
    <w:p>
      <w:pPr>
        <w:spacing w:after="80"/>
      </w:pPr>
      <w:r>
        <w:rPr>
          <w:color w:val="1A1A2E"/>
          <w:sz w:val="20"/>
        </w:rPr>
        <w:t>Pertinence : le cadence de production est un indicateur de performance globale. Une chute soudaine du nombre d'OF terminés peut signaler une panne majeure, un manque de matière première ou un problème qualité bloquant.</w:t>
      </w:r>
    </w:p>
    <w:p>
      <w:pPr>
        <w:spacing w:before="360" w:after="120"/>
        <w:pBdr>
          <w:bottom w:val="single" w:sz="6" w:space="4" w:color="E85A14"/>
        </w:pBdr>
      </w:pPr>
      <w:r>
        <w:rPr>
          <w:b/>
          <w:color w:val="1A1A2E"/>
          <w:sz w:val="28"/>
        </w:rPr>
        <w:t>4.  KPIs de Qualité – KPI 5 à 9</w:t>
      </w:r>
    </w:p>
    <w:p>
      <w:pPr>
        <w:spacing w:before="240" w:after="80"/>
      </w:pPr>
      <w:r>
        <w:rPr>
          <w:b/>
          <w:color w:val="E85A14"/>
          <w:sz w:val="22"/>
        </w:rPr>
        <w:t>KPI 5 – TRS / OEE</w:t>
      </w:r>
    </w:p>
    <w:p>
      <w:pPr>
        <w:spacing w:after="80"/>
      </w:pPr>
      <w:r>
        <w:rPr>
          <w:color w:val="1A1A2E"/>
          <w:sz w:val="20"/>
        </w:rPr>
        <w:t>Le Taux de Rendement Synthétique (TRS), équivalent international OEE (Overall Equipment Effectiveness), est l'indicateur de référence de la performance industrielle mondiale. Il synthétise en un seul pourcentage trois dimensions critiques :</w:t>
      </w:r>
    </w:p>
    <w:p>
      <w:pPr>
        <w:pStyle w:val="ListBullet"/>
        <w:spacing w:after="40"/>
        <w:ind w:left="283"/>
      </w:pPr>
      <w:r>
        <w:rPr>
          <w:color w:val="1A1A2E"/>
          <w:sz w:val="20"/>
        </w:rPr>
        <w:t>Disponibilité : la machine est-elle opérationnelle quand on en a besoin ?</w:t>
      </w:r>
    </w:p>
    <w:p>
      <w:pPr>
        <w:pStyle w:val="ListBullet"/>
        <w:spacing w:after="40"/>
        <w:ind w:left="283"/>
      </w:pPr>
      <w:r>
        <w:rPr>
          <w:color w:val="1A1A2E"/>
          <w:sz w:val="20"/>
        </w:rPr>
        <w:t>Performance : produit-elle au rythme prévu ?</w:t>
      </w:r>
    </w:p>
    <w:p>
      <w:pPr>
        <w:pStyle w:val="ListBullet"/>
        <w:spacing w:after="40"/>
        <w:ind w:left="283"/>
      </w:pPr>
      <w:r>
        <w:rPr>
          <w:color w:val="1A1A2E"/>
          <w:sz w:val="20"/>
        </w:rPr>
        <w:t>Qualité : les pièces produites sont-elles conformes ?</w:t>
      </w:r>
    </w:p>
    <w:p>
      <w:pPr>
        <w:spacing w:after="80"/>
      </w:pPr>
      <w:r>
        <w:rPr>
          <w:color w:val="1A1A2E"/>
          <w:sz w:val="20"/>
        </w:rPr>
        <w:t>Un TRS de 100 % signifie que la machine fonctionne à pleine vitesse, en permanence, sans aucun rebut. En pratique, un TRS de 85 % est considéré comme excellent dans l'industrie manufacturière (norme ISO 22400).</w:t>
      </w:r>
    </w:p>
    <w:p>
      <w:pPr>
        <w:spacing w:after="80"/>
      </w:pPr>
      <w:r>
        <w:rPr>
          <w:color w:val="1A1A2E"/>
          <w:sz w:val="20"/>
        </w:rPr>
        <w:t>Choix méthodologique : la performance est plafonnée à 100 % dans le calcul. En effet, si une machine va plus vite que prévu, cela peut indiquer un problème de planification (cycle standard sous-estimé) plutôt qu'une performance réelle.</w:t>
      </w:r>
    </w:p>
    <w:p>
      <w:pPr>
        <w:spacing w:before="240" w:after="80"/>
      </w:pPr>
      <w:r>
        <w:rPr>
          <w:b/>
          <w:color w:val="E85A14"/>
          <w:sz w:val="22"/>
        </w:rPr>
        <w:t>KPI 6 – Taux d'occupation</w:t>
      </w:r>
    </w:p>
    <w:p>
      <w:pPr>
        <w:spacing w:after="80"/>
      </w:pPr>
      <w:r>
        <w:rPr>
          <w:color w:val="1A1A2E"/>
          <w:sz w:val="20"/>
        </w:rPr>
        <w:t>Le taux d'occupation mesure le pourcentage de temps pendant lequel chaque machine est en état actif (Busy=1). Il complète la disponibilité du TRS en distinguant l'inactivité programmée de l'indisponibilité non prévue.</w:t>
      </w:r>
    </w:p>
    <w:p>
      <w:pPr>
        <w:spacing w:before="240" w:after="80"/>
      </w:pPr>
      <w:r>
        <w:rPr>
          <w:b/>
          <w:color w:val="E85A14"/>
          <w:sz w:val="22"/>
        </w:rPr>
        <w:t>KPI 7 – Nombre total d'erreurs</w:t>
      </w:r>
    </w:p>
    <w:p>
      <w:pPr>
        <w:spacing w:after="80"/>
      </w:pPr>
      <w:r>
        <w:rPr>
          <w:color w:val="1A1A2E"/>
          <w:sz w:val="20"/>
        </w:rPr>
        <w:t>Comptage brut de toutes les étapes ayant généré une erreur (ErrorStep=1 ou ErrorRetVal différent de 0). Indicateur de premier niveau permettant de quantifier l'ampleur globale des défauts.</w:t>
      </w:r>
    </w:p>
    <w:p>
      <w:pPr>
        <w:spacing w:before="240" w:after="80"/>
      </w:pPr>
      <w:r>
        <w:rPr>
          <w:b/>
          <w:color w:val="E85A14"/>
          <w:sz w:val="22"/>
        </w:rPr>
        <w:t>KPI 8 – Pareto des erreurs par étape</w:t>
      </w:r>
    </w:p>
    <w:p>
      <w:pPr>
        <w:spacing w:after="80"/>
      </w:pPr>
      <w:r>
        <w:rPr>
          <w:color w:val="1A1A2E"/>
          <w:sz w:val="20"/>
        </w:rPr>
        <w:t>L'analyse de Pareto (principe des 80/20) identifie les étapes de production qui concentrent la majorité des erreurs. En traitant les 20 % d'étapes générant 80 % des défauts, on maximise l'impact des actions correctives avec un effort minimal.</w:t>
      </w:r>
    </w:p>
    <w:p>
      <w:pPr>
        <w:spacing w:after="80"/>
      </w:pPr>
      <w:r>
        <w:rPr>
          <w:color w:val="1A1A2E"/>
          <w:sz w:val="20"/>
        </w:rPr>
        <w:t>Pertinence opérationnelle : un ingénieur qualité peut immédiatement cibler les postes de travail prioritaires, sans avoir à analyser l'ensemble des données brutes.</w:t>
      </w:r>
    </w:p>
    <w:p>
      <w:pPr>
        <w:spacing w:before="240" w:after="80"/>
      </w:pPr>
      <w:r>
        <w:rPr>
          <w:b/>
          <w:color w:val="E85A14"/>
          <w:sz w:val="22"/>
        </w:rPr>
        <w:t>KPI 9 – First Pass Yield (FPY)</w:t>
      </w:r>
    </w:p>
    <w:p>
      <w:pPr>
        <w:spacing w:after="80"/>
      </w:pPr>
      <w:r>
        <w:rPr>
          <w:color w:val="1A1A2E"/>
          <w:sz w:val="20"/>
        </w:rPr>
        <w:t>Le First Pass Yield mesure la proportion d'ordres de fabrication ayant traversé l'intégralité du processus sans générer la moindre erreur au premier passage. C'est l'indicateur de qualité le plus exigeant : il pénalise toute déviation, même minime, du processus.</w:t>
      </w:r>
    </w:p>
    <w:p>
      <w:pPr>
        <w:spacing w:after="80"/>
      </w:pPr>
      <w:r>
        <w:rPr>
          <w:color w:val="1A1A2E"/>
          <w:sz w:val="20"/>
        </w:rPr>
        <w:t>Pertinence : un FPY élevé indique un processus robuste et maîtrisé. Un FPY faible signale des causes profondes de non-qualité (défauts de conception, variabilité des matières, instabilité du procédé).</w:t>
      </w:r>
    </w:p>
    <w:p>
      <w:pPr>
        <w:spacing w:before="360" w:after="120"/>
        <w:pBdr>
          <w:bottom w:val="single" w:sz="6" w:space="4" w:color="E85A14"/>
        </w:pBdr>
      </w:pPr>
      <w:r>
        <w:rPr>
          <w:b/>
          <w:color w:val="1A1A2E"/>
          <w:sz w:val="28"/>
        </w:rPr>
        <w:t>5.  KPI Machines – KPI 10</w:t>
      </w:r>
    </w:p>
    <w:p>
      <w:pPr>
        <w:spacing w:before="240" w:after="80"/>
      </w:pPr>
      <w:r>
        <w:rPr>
          <w:b/>
          <w:color w:val="E85A14"/>
          <w:sz w:val="22"/>
        </w:rPr>
        <w:t>KPI 10 – MTBF et MTTR</w:t>
      </w:r>
    </w:p>
    <w:p>
      <w:pPr>
        <w:spacing w:after="80"/>
      </w:pPr>
      <w:r>
        <w:rPr>
          <w:color w:val="1A1A2E"/>
          <w:sz w:val="20"/>
        </w:rPr>
        <w:t>Le MTBF (Mean Time Between Failures) et le MTTR (Mean Time To Repair) sont les deux piliers de la maintenance industrielle :</w:t>
      </w:r>
    </w:p>
    <w:p>
      <w:pPr>
        <w:pStyle w:val="ListBullet"/>
        <w:spacing w:after="40"/>
        <w:ind w:left="283"/>
      </w:pPr>
      <w:r>
        <w:rPr>
          <w:color w:val="1A1A2E"/>
          <w:sz w:val="20"/>
        </w:rPr>
        <w:t>MTBF élevé → machine fiable, peu sujette aux pannes → coût de maintenance faible</w:t>
      </w:r>
    </w:p>
    <w:p>
      <w:pPr>
        <w:pStyle w:val="ListBullet"/>
        <w:spacing w:after="40"/>
        <w:ind w:left="283"/>
      </w:pPr>
      <w:r>
        <w:rPr>
          <w:color w:val="1A1A2E"/>
          <w:sz w:val="20"/>
        </w:rPr>
        <w:t>MTTR faible → pannes résolues rapidement → impact limité sur la production</w:t>
      </w:r>
    </w:p>
    <w:p>
      <w:pPr>
        <w:spacing w:after="80"/>
      </w:pPr>
      <w:r>
        <w:rPr>
          <w:color w:val="1A1A2E"/>
          <w:sz w:val="20"/>
        </w:rPr>
        <w:t>Ces métriques permettent de prioriser les actions de maintenance préventive (remplacer un composant avant qu'il ne tombe en panne) et de dimensionner les stocks de pièces de rechange.</w:t>
      </w:r>
    </w:p>
    <w:p>
      <w:pPr>
        <w:spacing w:after="80"/>
      </w:pPr>
      <w:r>
        <w:rPr>
          <w:color w:val="1A1A2E"/>
          <w:sz w:val="20"/>
        </w:rPr>
        <w:t>Choix méthodologique : la médiane est utilisée pour l'affichage synthétique (plutôt que la moyenne) car les données couvrent 3 ans de fonctionnement et certaines machines ont une fiabilité exceptionnelle (1 panne en 3 ans), ce qui distordrait fortement une moyenne arithmétique.</w:t>
      </w:r>
    </w:p>
    <w:p>
      <w:pPr>
        <w:spacing w:after="80"/>
      </w:pPr>
      <w:r>
        <w:rPr>
          <w:color w:val="1A1A2E"/>
          <w:sz w:val="20"/>
        </w:rPr>
        <w:t>Le filtre temporel (7 j / 30 j / 90 j / Tout) permet d'analyser les tendances récentes indépendamment de l'historique long terme.</w:t>
      </w:r>
    </w:p>
    <w:p>
      <w:pPr>
        <w:spacing w:before="360" w:after="120"/>
        <w:pBdr>
          <w:bottom w:val="single" w:sz="6" w:space="4" w:color="E85A14"/>
        </w:pBdr>
      </w:pPr>
      <w:r>
        <w:rPr>
          <w:b/>
          <w:color w:val="1A1A2E"/>
          <w:sz w:val="28"/>
        </w:rPr>
        <w:t>6.  KPIs de Maintenance – KPI 11 et 12</w:t>
      </w:r>
    </w:p>
    <w:p>
      <w:pPr>
        <w:spacing w:before="240" w:after="80"/>
      </w:pPr>
      <w:r>
        <w:rPr>
          <w:b/>
          <w:color w:val="E85A14"/>
          <w:sz w:val="22"/>
        </w:rPr>
        <w:t>KPI 11 – Taux de remplissage des buffers</w:t>
      </w:r>
    </w:p>
    <w:p>
      <w:pPr>
        <w:spacing w:after="80"/>
      </w:pPr>
      <w:r>
        <w:rPr>
          <w:color w:val="1A1A2E"/>
          <w:sz w:val="20"/>
        </w:rPr>
        <w:t>Les buffers (zones tampon) de la ligne de production jouent un rôle d'amortisseur entre les postes de travail. Un buffer plein bloque le poste amont ; un buffer vide affame le poste aval. Les deux situations dégradent la performance.</w:t>
      </w:r>
    </w:p>
    <w:p>
      <w:pPr>
        <w:spacing w:after="80"/>
      </w:pPr>
      <w:r>
        <w:rPr>
          <w:color w:val="1A1A2E"/>
          <w:sz w:val="20"/>
        </w:rPr>
        <w:t>Cet indicateur surveille en temps réel le taux d'occupation de chaque buffer (nombre de positions occupées / nombre total de positions). Des seuils d'alerte à 70 % et 90 % permettent d'anticiper les saturations avant qu'elles ne provoquent un arrêt de ligne.</w:t>
      </w:r>
    </w:p>
    <w:p>
      <w:pPr>
        <w:spacing w:after="80"/>
      </w:pPr>
      <w:r>
        <w:rPr>
          <w:color w:val="1A1A2E"/>
          <w:sz w:val="20"/>
        </w:rPr>
        <w:t>Pertinence : dans une ligne de production synchronisée, la gestion des buffers est critique pour maintenir un flux continu. Une surveillance automatique réduit le besoin de rondes physiques et accélère la réaction opérationnelle.</w:t>
      </w:r>
    </w:p>
    <w:p>
      <w:pPr>
        <w:spacing w:before="240" w:after="80"/>
      </w:pPr>
      <w:r>
        <w:rPr>
          <w:b/>
          <w:color w:val="E85A14"/>
          <w:sz w:val="22"/>
        </w:rPr>
        <w:t>KPI 12 – Consommation électrique par OF</w:t>
      </w:r>
    </w:p>
    <w:p>
      <w:pPr>
        <w:spacing w:after="80"/>
      </w:pPr>
      <w:r>
        <w:rPr>
          <w:color w:val="1A1A2E"/>
          <w:sz w:val="20"/>
        </w:rPr>
        <w:t>Ce KPI mesure l'énergie électrique consommée en moyenne par ordre de fabrication, calculée par le système MES à partir des étapes enregistrées (ElectricEnergyCalc). C'est un indicateur de performance énergétique de la ligne.</w:t>
      </w:r>
    </w:p>
    <w:p>
      <w:pPr>
        <w:spacing w:after="80"/>
      </w:pPr>
      <w:r>
        <w:rPr>
          <w:color w:val="1A1A2E"/>
          <w:sz w:val="20"/>
        </w:rPr>
        <w:t>Pertinence : la maîtrise de la consommation énergétique est un enjeu économique (réduction des coûts de production) et environnemental (réduction de l'empreinte carbone). Un écart entre énergie calculée et énergie réelle peut signaler une dérive de processus ou un équipement défaillant consommant plus que prévu.</w:t>
      </w:r>
    </w:p>
    <w:p>
      <w:pPr>
        <w:spacing w:before="360" w:after="120"/>
        <w:pBdr>
          <w:bottom w:val="single" w:sz="6" w:space="4" w:color="E85A14"/>
        </w:pBdr>
      </w:pPr>
      <w:r>
        <w:rPr>
          <w:b/>
          <w:color w:val="1A1A2E"/>
          <w:sz w:val="28"/>
        </w:rPr>
        <w:t>7.  Sources de données et pertinence</w:t>
      </w:r>
    </w:p>
    <w:p>
      <w:pPr>
        <w:spacing w:before="240" w:after="80"/>
      </w:pPr>
      <w:r>
        <w:rPr>
          <w:b/>
          <w:color w:val="E85A14"/>
          <w:sz w:val="22"/>
        </w:rPr>
        <w:t>Base de données Festo MES 4.0</w:t>
      </w:r>
    </w:p>
    <w:p>
      <w:pPr>
        <w:spacing w:after="80"/>
      </w:pPr>
      <w:r>
        <w:rPr>
          <w:color w:val="1A1A2E"/>
          <w:sz w:val="20"/>
        </w:rPr>
        <w:t>La base de données MariaDB est la source primaire de tous les KPIs métier. Elle est alimentée en continu par le système MES de T'Elefan et constitue la référence officielle pour toute analyse de performance. L'utilisation d'une connexion SQLAlchemy paramétrée garantit la sécurité des requêtes (protection contre les injections SQL) et la performance (pool de connexions réutilisables).</w:t>
      </w:r>
    </w:p>
    <w:p>
      <w:pPr>
        <w:spacing w:before="240" w:after="80"/>
      </w:pPr>
      <w:r>
        <w:rPr>
          <w:b/>
          <w:color w:val="E85A14"/>
          <w:sz w:val="22"/>
        </w:rPr>
        <w:t>Fichiers CSV – Capteurs Robotino</w:t>
      </w:r>
    </w:p>
    <w:p>
      <w:pPr>
        <w:spacing w:after="80"/>
      </w:pPr>
      <w:r>
        <w:rPr>
          <w:color w:val="1A1A2E"/>
          <w:sz w:val="20"/>
        </w:rPr>
        <w:t>Les fichiers CSV complètent les données du MES avec des mesures physiques directes des capteurs embarqués sur la ligne :</w:t>
      </w:r>
    </w:p>
    <w:p>
      <w:pPr>
        <w:pStyle w:val="ListBullet"/>
        <w:spacing w:after="40"/>
        <w:ind w:left="283"/>
      </w:pPr>
      <w:r>
        <w:rPr>
          <w:color w:val="1A1A2E"/>
          <w:sz w:val="20"/>
        </w:rPr>
        <w:t>data_all.csv (3 569 points) : mesures synchronisées de la pression pneumatique, du débit d'air comprimé et de la puissance électrique par phase (L1/L2/L3). Ces données permettent une analyse fine de la qualité de l'alimentation électrique et de l'utilisation du réseau pneumatique.</w:t>
      </w:r>
    </w:p>
    <w:p>
      <w:pPr>
        <w:pStyle w:val="ListBullet"/>
        <w:spacing w:after="40"/>
        <w:ind w:left="283"/>
      </w:pPr>
      <w:r>
        <w:rPr>
          <w:color w:val="1A1A2E"/>
          <w:sz w:val="20"/>
        </w:rPr>
        <w:t>dataEnergy.csv (177 290 points) : série temporelle longue durée de la puissance par phase. Cette granularité fine permet de détecter des pics de consommation, des déséquilibres de phases ou des dérives progressives de la consommation.</w:t>
      </w:r>
    </w:p>
    <w:p>
      <w:pPr>
        <w:spacing w:after="80"/>
      </w:pPr>
      <w:r>
        <w:rPr>
          <w:color w:val="1A1A2E"/>
          <w:sz w:val="20"/>
        </w:rPr>
        <w:t>Ces deux sources combinées offrent une vision à deux niveaux : le MES fournit la vision processus (ordre de fabrication, étape, ressource) ; les capteurs fournissent la vision physique (courant, tension, pression).</w:t>
      </w:r>
    </w:p>
    <w:p>
      <w:pPr>
        <w:spacing w:before="360" w:after="120"/>
        <w:pBdr>
          <w:bottom w:val="single" w:sz="6" w:space="4" w:color="E85A14"/>
        </w:pBdr>
      </w:pPr>
      <w:r>
        <w:rPr>
          <w:b/>
          <w:color w:val="1A1A2E"/>
          <w:sz w:val="28"/>
        </w:rPr>
        <w:t>8.  Conclusion</w:t>
      </w:r>
    </w:p>
    <w:p>
      <w:pPr>
        <w:spacing w:after="80"/>
      </w:pPr>
      <w:r>
        <w:rPr>
          <w:color w:val="1A1A2E"/>
          <w:sz w:val="20"/>
        </w:rPr>
        <w:t>Les 12 indicateurs retenus forment un système de pilotage cohérent et complet de la ligne de production T'Elefan. Chaque indicateur a été sélectionné pour sa capacité à révéler un aspect distinct de la performance industrielle, depuis le flux d'ordres jusqu'à la consommation énergétique.</w:t>
      </w:r>
    </w:p>
    <w:p>
      <w:pPr>
        <w:spacing w:after="80"/>
      </w:pPr>
      <w:r>
        <w:rPr>
          <w:color w:val="1A1A2E"/>
          <w:sz w:val="20"/>
        </w:rPr>
        <w:t>La combinaison d'indicateurs de haut niveau (TRS, FPY) et d'indicateurs opérationnels (MTBF/MTTR, taux de remplissage des buffers) permet à la fois une vision stratégique pour la direction et une vision tactique pour les opérateurs de terrain.</w:t>
      </w:r>
    </w:p>
    <w:p>
      <w:pPr>
        <w:spacing w:after="80"/>
      </w:pPr>
      <w:r>
        <w:rPr>
          <w:color w:val="1A1A2E"/>
          <w:sz w:val="20"/>
        </w:rPr>
        <w:t>L'intégration des données capteurs CSV enrichit le dashboard d'une dimension physique que le MES ne capture pas seul, ouvrant la voie à des analyses de corrélation entre événements de production et mesures électriques ou pneumatiques.</w:t>
      </w:r>
    </w:p>
    <w:p>
      <w:pPr>
        <w:spacing w:after="80"/>
      </w:pPr>
      <w:r>
        <w:rPr>
          <w:color w:val="1A1A2E"/>
          <w:sz w:val="20"/>
        </w:rPr>
        <w:t>Ce dashboard constitue ainsi un outil de pilotage industriel complet, aligné sur les standards internationaux (ISO 22400, OEE) et adapté aux spécificités de la plateforme Festo MES 4.0 de T'Elefan.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