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2"/>
      </w:pPr>
      <w:r>
        <w:t xml:space="preserve">Quarterly Field Report — Sample Document</w:t>
      </w:r>
    </w:p>
    <w:p>
      <w:r>
        <w:t xml:space="preserve">This sample Word file ships with the ToolAspect DOCX Viewer so you can see rendering without digging out one of your own files. Everything you see here, including the heading above, this paragraph, the list below, and the table on the next page, is being rendered from the raw Office Open XML inside the file by JavaScript running in this tab.</w:t>
      </w:r>
    </w:p>
    <w:p>
      <w:r>
        <w:t xml:space="preserve">A .docx is not a single document blob. It is a ZIP archive of XML parts: the body text lives in word/document.xml, styles live in word/styles.xml, images sit in word/media, and core properties such as title and author live in docProps/core.xml. The viewer unzips the file in memory, reads those parts, and paints the pages you are reading right now.</w:t>
      </w:r>
    </w:p>
    <w:p>
      <w:pPr>
        <w:numPr>
          <w:ilvl w:val="0"/>
          <w:numId w:val="1"/>
        </w:numPr>
      </w:pPr>
      <w:r>
        <w:t xml:space="preserve">Nothing is uploaded — the file never leaves the browser</w:t>
      </w:r>
    </w:p>
    <w:p>
      <w:pPr>
        <w:numPr>
          <w:ilvl w:val="0"/>
          <w:numId w:val="1"/>
        </w:numPr>
      </w:pPr>
      <w:r>
        <w:t xml:space="preserve">Formatting comes from the styles part, not from the viewer</w:t>
      </w:r>
    </w:p>
    <w:p>
      <w:pPr>
        <w:numPr>
          <w:ilvl w:val="0"/>
          <w:numId w:val="1"/>
        </w:numPr>
      </w:pPr>
      <w:r>
        <w:t xml:space="preserve">Images and tables render inline where the XML places them</w:t>
      </w:r>
    </w:p>
    <w:p>
      <w:r>
        <w:t xml:space="preserve">Every word in this file, from the title on page one to this sentence, is counted by the same sidebar counter you will see when you open it, so the number can be checked by hand against the text. Both come from the same XML, which is the point: the viewer does not guess at content, it reads it.</w:t>
      </w:r>
    </w:p>
    <w:p>
      <w:r>
        <w:br w:type="page"/>
      </w:r>
    </w:p>
    <w:p>
      <w:pPr>
        <w:pStyle w:val="Heading2"/>
      </w:pPr>
      <w:r>
        <w:t xml:space="preserve">Budget Summary</w:t>
      </w:r>
    </w:p>
    <w:p>
      <w:r>
        <w:t xml:space="preserve">The table below is a simple three-row budget. Tables in Word are grids of cells in the XML, and the viewer draws them with the same borders and shading the file asks for. If a document uses a fancy theme, colors come from the theme part; this sample keeps things plain so the bytes stay small.</w:t>
      </w:r>
    </w:p>
    <w:tbl>
      <w:tblPr>
        <w:tblBorders>
          <w:top w:val="single" w:sz="4" w:color="999999"/>
          <w:left w:val="single" w:sz="4" w:color="999999"/>
          <w:bottom w:val="single" w:sz="4" w:color="999999"/>
          <w:right w:val="single" w:sz="4" w:color="999999"/>
          <w:insideH w:val="single" w:sz="4" w:color="999999"/>
          <w:insideV w:val="single" w:sz="4" w:color="999999"/>
        </w:tblBorders>
        <w:tblW w:w="5000" w:type="pct"/>
      </w:tblPr>
      <w:tr>
        <w:tc>
          <w:tcPr>
            <w:tcW w:w="2400" w:type="dxa"/>
            <w:shd w:val="clear" w:fill="EEEEEE"/>
          </w:tcPr>
          <w:p>
            <w:r>
              <w:rPr>
                <w:b/>
              </w:rPr>
              <w:t xml:space="preserve">Item</w:t>
            </w:r>
          </w:p>
        </w:tc>
        <w:tc>
          <w:tcPr>
            <w:tcW w:w="2400" w:type="dxa"/>
            <w:shd w:val="clear" w:fill="EEEEEE"/>
          </w:tcPr>
          <w:p>
            <w:r>
              <w:rPr>
                <w:b/>
              </w:rPr>
              <w:t xml:space="preserve">Q1</w:t>
            </w:r>
          </w:p>
        </w:tc>
        <w:tc>
          <w:tcPr>
            <w:tcW w:w="2400" w:type="dxa"/>
            <w:shd w:val="clear" w:fill="EEEEEE"/>
          </w:tcPr>
          <w:p>
            <w:r>
              <w:rPr>
                <w:b/>
              </w:rPr>
              <w:t xml:space="preserve">Q2</w:t>
            </w:r>
          </w:p>
        </w:tc>
      </w:tr>
      <w:tr>
        <w:tc>
          <w:tcPr>
            <w:tcW w:w="2400" w:type="dxa"/>
          </w:tcPr>
          <w:p>
            <w:r>
              <w:rPr/>
              <w:t xml:space="preserve">Field work</w:t>
            </w:r>
          </w:p>
        </w:tc>
        <w:tc>
          <w:tcPr>
            <w:tcW w:w="2400" w:type="dxa"/>
          </w:tcPr>
          <w:p>
            <w:r>
              <w:rPr/>
              <w:t xml:space="preserve">18,400</w:t>
            </w:r>
          </w:p>
        </w:tc>
        <w:tc>
          <w:tcPr>
            <w:tcW w:w="2400" w:type="dxa"/>
          </w:tcPr>
          <w:p>
            <w:r>
              <w:rPr/>
              <w:t xml:space="preserve">21,150</w:t>
            </w:r>
          </w:p>
        </w:tc>
      </w:tr>
      <w:tr>
        <w:tc>
          <w:tcPr>
            <w:tcW w:w="2400" w:type="dxa"/>
          </w:tcPr>
          <w:p>
            <w:r>
              <w:rPr/>
              <w:t xml:space="preserve">Parts</w:t>
            </w:r>
          </w:p>
        </w:tc>
        <w:tc>
          <w:tcPr>
            <w:tcW w:w="2400" w:type="dxa"/>
          </w:tcPr>
          <w:p>
            <w:r>
              <w:rPr/>
              <w:t xml:space="preserve">6,120</w:t>
            </w:r>
          </w:p>
        </w:tc>
        <w:tc>
          <w:tcPr>
            <w:tcW w:w="2400" w:type="dxa"/>
          </w:tcPr>
          <w:p>
            <w:r>
              <w:rPr/>
              <w:t xml:space="preserve">5,980</w:t>
            </w:r>
          </w:p>
        </w:tc>
      </w:tr>
      <w:tr>
        <w:tc>
          <w:tcPr>
            <w:tcW w:w="2400" w:type="dxa"/>
          </w:tcPr>
          <w:p>
            <w:r>
              <w:rPr/>
              <w:t xml:space="preserve">Total</w:t>
            </w:r>
          </w:p>
        </w:tc>
        <w:tc>
          <w:tcPr>
            <w:tcW w:w="2400" w:type="dxa"/>
          </w:tcPr>
          <w:p>
            <w:r>
              <w:rPr/>
              <w:t xml:space="preserve">24,520</w:t>
            </w:r>
          </w:p>
        </w:tc>
        <w:tc>
          <w:tcPr>
            <w:tcW w:w="2400" w:type="dxa"/>
          </w:tcPr>
          <w:p>
            <w:r>
              <w:rPr/>
              <w:t xml:space="preserve">27,130</w:t>
            </w:r>
          </w:p>
        </w:tc>
      </w:tr>
    </w:tbl>
    <w:p>
      <w:r>
        <w:t xml:space="preserve">End of sample. Scroll, print, or open your own .docx to compare. When you load your own file, this entire panel is replaced by your document, rendered the same way — locally, privately, and without a single byte leaving your machine.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lvl>
  </w:abstractNum>
  <w:num w:numId="1">
    <w:abstractNumId w:val="0"/>
  </w:num>
</w:numbering>
</file>

<file path=word/styles.xml><?xml version="1.0" encoding="utf-8"?>
<w:styles xmlns:w="http://schemas.openxmlformats.org/wordprocessingml/2006/main">
  <w:style w:type="paragraph" w:styleId="Heading2">
    <w:name w:val="heading 2"/>
    <w:pPr>
      <w:spacing w:before="240" w:after="120"/>
    </w:pPr>
    <w:rPr>
      <w:b/>
      <w:sz w:val="30"/>
      <w:color w:val="1F386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