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0.42</w:t>
      </w:r>
      <w:r>
        <w:br/>
      </w:r>
      <w:r>
        <w:t xml:space="preserve">Last updated:</w:t>
      </w:r>
      <w:r>
        <w:br/>
      </w:r>
      <w:r>
        <w:t xml:space="preserve">Preregistration template designed by</w:t>
      </w:r>
      <w:r>
        <w:br/>
      </w:r>
      <w:r>
        <w:t xml:space="preserve">Björn S. Siepe, František Bartoš, and Samuel Pawel</w:t>
      </w:r>
      <w:r>
        <w:br/>
      </w:r>
    </w:p>
    <w:p>
      <w:pPr>
        <w:pStyle w:val="berschrift1"/>
      </w:pPr>
      <w:bookmarkStart w:id="20" w:name="instructions"/>
      <w:r>
        <w:t xml:space="preserve">Instructions</w:t>
      </w:r>
      <w:bookmarkEnd w:id="20"/>
    </w:p>
    <w:p>
      <w:pPr>
        <w:pStyle w:val="berschrift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 available at (**citation**). Alternative Google Docs and Word versions of this template are available at (</w:t>
      </w:r>
      <w:hyperlink r:id="rId22">
        <w:r>
          <w:rPr>
            <w:rStyle w:val="Hyperlink"/>
          </w:rPr>
          <w:t xml:space="preserve">https://github.com/bsiepe/ADEMP-PreReg</w:t>
        </w:r>
      </w:hyperlink>
      <w:r>
        <w:t xml:space="preserve">). To time-stamp your protocol, we recommend uploading it to the Open Science Framework (</w:t>
      </w:r>
      <w:hyperlink r:id="rId23">
        <w:r>
          <w:rPr>
            <w:rStyle w:val="Hyperlink"/>
          </w:rPr>
          <w:t xml:space="preserve">https://osf.io/</w:t>
        </w:r>
      </w:hyperlink>
      <w:r>
        <w:t xml:space="preserve">) or Zenodo (</w:t>
      </w:r>
      <w:hyperlink r:id="rId24">
        <w:r>
          <w:rPr>
            <w:rStyle w:val="Hyperlink"/>
          </w:rPr>
          <w:t xml:space="preserve">https://zenodo.org/</w:t>
        </w:r>
      </w:hyperlink>
      <w:r>
        <w:t xml:space="preserve">). When using this template, please cite the associated preprint</w:t>
      </w:r>
      <w:r>
        <w:t xml:space="preserve"> </w:t>
      </w:r>
      <w:r>
        <w:t xml:space="preserve">(Siepe, Bartoš, and Pawel 2023)</w:t>
      </w:r>
      <w:r>
        <w:t xml:space="preserve">. If you have any questions or suggestions for improving the template, please contact us via the ways described at (</w:t>
      </w:r>
      <w:hyperlink r:id="rId22">
        <w:r>
          <w:rPr>
            <w:rStyle w:val="Hyperlink"/>
          </w:rPr>
          <w:t xml:space="preserve">https://github.com/bsiepe/ADEMP-PreReg</w:t>
        </w:r>
      </w:hyperlink>
      <w:r>
        <w:t xml:space="preserve">).</w:t>
      </w:r>
      <w:r>
        <w:br/>
      </w:r>
    </w:p>
    <w:p>
      <w:pPr>
        <w:pStyle w:val="berschrift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w:t>
      </w:r>
    </w:p>
    <w:p>
      <w:pPr>
        <w:pStyle w:val="berschrift1"/>
      </w:pPr>
      <w:bookmarkStart w:id="26" w:name="general-information-1"/>
      <w:r>
        <w:t xml:space="preserve">General Information</w:t>
      </w:r>
      <w:bookmarkEnd w:id="26"/>
    </w:p>
    <w:p>
      <w:pPr>
        <w:pStyle w:val="berschrift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berschrift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berschrift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BodyText"/>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berschrift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BodyText"/>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berschrift1"/>
      </w:pPr>
      <w:bookmarkStart w:id="31" w:name="aims"/>
      <w:r>
        <w:t xml:space="preserve">Aims</w:t>
      </w:r>
      <w:bookmarkEnd w:id="31"/>
    </w:p>
    <w:p>
      <w:pPr>
        <w:pStyle w:val="berschrift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BodyText"/>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berschrift1"/>
      </w:pPr>
      <w:bookmarkStart w:id="33" w:name="data-generating-mechanism"/>
      <w:r>
        <w:t xml:space="preserve">Data-Generating Mechanism</w:t>
      </w:r>
      <w:bookmarkEnd w:id="33"/>
    </w:p>
    <w:p>
      <w:pPr>
        <w:pStyle w:val="berschrift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BodyText"/>
      </w:pPr>
      <w:r>
        <w:rPr>
          <w:i/>
        </w:rPr>
        <w:t xml:space="preserve">Example:</w:t>
      </w:r>
      <w:r>
        <w:t xml:space="preserve"> </w:t>
      </w:r>
      <w:r>
        <w:t xml:space="preserve">Pre-post measurements are simulated from a normal distribution for varying treatment effects and pre-post correlations. Specifically, in each group</w:t>
      </w:r>
      <w:r>
        <w:t xml:space="preserve"> </w:t>
      </w:r>
      <m:oMath>
        <m:r>
          <m:t>g</m:t>
        </m:r>
        <m:r>
          <m:t>∈</m:t>
        </m:r>
        <m:r>
          <m:t>{</m:t>
        </m:r>
        <m:r>
          <m:rPr>
            <m:nor/>
            <m:sty m:val="p"/>
          </m:rPr>
          <m:t>exp</m:t>
        </m:r>
        <m:r>
          <m:t>,</m:t>
        </m:r>
        <m:r>
          <m:rPr>
            <m:nor/>
            <m:sty m:val="p"/>
          </m:rPr>
          <m:t>control</m:t>
        </m:r>
        <m:r>
          <m:t>}</m:t>
        </m:r>
      </m:oMath>
      <w:r>
        <w:t xml:space="preserve"> </w:t>
      </w:r>
      <w:r>
        <w:t xml:space="preserve">we simulate</w:t>
      </w:r>
      <w:r>
        <w:t xml:space="preserve"> </w:t>
      </w:r>
      <m:oMath>
        <m:r>
          <m:t>n</m:t>
        </m:r>
      </m:oMath>
      <w:r>
        <w:t xml:space="preserve"> </w:t>
      </w:r>
      <w:r>
        <w:t xml:space="preserve">pre-post measurements from a bivariate normal distribution with mean vector</w:t>
      </w:r>
      <w:r>
        <w:t xml:space="preserve"> </w:t>
      </w:r>
      <m:oMath>
        <m:sSub>
          <m:e>
            <m:r>
              <m:rPr>
                <m:sty m:val="b"/>
              </m:rPr>
              <m:t>μ</m:t>
            </m:r>
          </m:e>
          <m:sub>
            <m:r>
              <m:rPr>
                <m:sty m:val="b"/>
              </m:rPr>
              <m:t>g</m:t>
            </m:r>
          </m:sub>
        </m:sSub>
        <m:r>
          <m:t>=</m:t>
        </m:r>
        <m:r>
          <m:t>(</m:t>
        </m:r>
        <m:sSub>
          <m:e>
            <m:r>
              <m:t>μ</m:t>
            </m:r>
          </m:e>
          <m:sub>
            <m:r>
              <m:t>g</m:t>
            </m:r>
            <m:r>
              <m:t>,</m:t>
            </m:r>
            <m:r>
              <m:t>1</m:t>
            </m:r>
          </m:sub>
        </m:sSub>
        <m:r>
          <m:t>,</m:t>
        </m:r>
        <m:sSub>
          <m:e>
            <m:r>
              <m:t>μ</m:t>
            </m:r>
          </m:e>
          <m:sub>
            <m:r>
              <m:t>g</m:t>
            </m:r>
            <m:r>
              <m:t>,</m:t>
            </m:r>
            <m:r>
              <m:t>2</m:t>
            </m:r>
          </m:sub>
        </m:sSub>
        <m:sSup>
          <m:e>
            <m:r>
              <m:t>)</m:t>
            </m:r>
          </m:e>
          <m:sup>
            <m:r>
              <m:t>⊤</m:t>
            </m:r>
          </m:sup>
        </m:sSup>
      </m:oMath>
      <w:r>
        <w:t xml:space="preserve"> </w:t>
      </w:r>
      <w:r>
        <w:t xml:space="preserve">and covariance matrix containing variances equal to 1 and covariances determined by the pre-post correlation</w:t>
      </w:r>
      <w:r>
        <w:t xml:space="preserve"> </w:t>
      </w:r>
      <m:oMath>
        <m:r>
          <m:t>ρ</m:t>
        </m:r>
      </m:oMath>
      <w:r>
        <w:t xml:space="preserve">. The pre-measure mean</w:t>
      </w:r>
      <w:r>
        <w:t xml:space="preserve"> </w:t>
      </w:r>
      <m:oMath>
        <m:sSub>
          <m:e>
            <m:r>
              <m:t>μ</m:t>
            </m:r>
          </m:e>
          <m:sub>
            <m:r>
              <m:t>g</m:t>
            </m:r>
            <m:r>
              <m:t>,</m:t>
            </m:r>
            <m:r>
              <m:t>1</m:t>
            </m:r>
          </m:sub>
        </m:sSub>
      </m:oMath>
      <w:r>
        <w:t xml:space="preserve"> </w:t>
      </w:r>
      <w:r>
        <w:t xml:space="preserve">is fixed to zero in both groups, the post-treatment mean</w:t>
      </w:r>
      <w:r>
        <w:t xml:space="preserve"> </w:t>
      </w:r>
      <m:oMath>
        <m:sSub>
          <m:e>
            <m:r>
              <m:t>μ</m:t>
            </m:r>
          </m:e>
          <m:sub>
            <m:r>
              <m:rPr>
                <m:nor/>
                <m:sty m:val="p"/>
              </m:rPr>
              <m:t>control</m:t>
            </m:r>
            <m:r>
              <m:t>,</m:t>
            </m:r>
            <m:r>
              <m:t>2</m:t>
            </m:r>
          </m:sub>
        </m:sSub>
      </m:oMath>
      <w:r>
        <w:t xml:space="preserve"> </w:t>
      </w:r>
      <w:r>
        <w:t xml:space="preserve">is fixed to zero in the control group and manipulated in the experimental condition</w:t>
      </w:r>
      <w:r>
        <w:t xml:space="preserve"> </w:t>
      </w:r>
      <m:oMath>
        <m:sSub>
          <m:e>
            <m:r>
              <m:t>μ</m:t>
            </m:r>
          </m:e>
          <m:sub>
            <m:r>
              <m:rPr>
                <m:nor/>
                <m:sty m:val="p"/>
              </m:rPr>
              <m:t>exp</m:t>
            </m:r>
            <m:r>
              <m:t>,</m:t>
            </m:r>
            <m:r>
              <m:t>2</m:t>
            </m:r>
          </m:sub>
        </m:sSub>
      </m:oMath>
      <w:r>
        <w:t xml:space="preserve">.</w:t>
      </w:r>
    </w:p>
    <w:p>
      <w:pPr>
        <w:pStyle w:val="berschrift2"/>
      </w:pPr>
      <w:bookmarkStart w:id="35" w:name="Xf24c5a67a3baf6c041672b108b0128ccef60a5f"/>
      <w:r>
        <w:t xml:space="preserve">What will be the different factors of the data-generating mechanism?</w:t>
      </w:r>
      <w:bookmarkEnd w:id="35"/>
    </w:p>
    <w:p>
      <w:pPr>
        <w:pStyle w:val="FirstParagraph"/>
      </w:pPr>
      <w:r>
        <w:rPr>
          <w:i/>
        </w:rPr>
        <w:t xml:space="preserve">Explanation: A factor can be a parameter/setting/process/etc. that determines the data-generating mechanism and is varied across simulation conditions.</w:t>
      </w:r>
    </w:p>
    <w:p>
      <w:pPr>
        <w:pStyle w:val="BodyText"/>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berschrift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BodyText"/>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berschrift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 or</w:t>
      </w:r>
      <w:r>
        <w:t xml:space="preserve"> </w:t>
      </w:r>
      <w:r>
        <w:t xml:space="preserve">‘</w:t>
      </w:r>
      <w:r>
        <w:t xml:space="preserve">one-at-a-time</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may, for example, include distinct scenarios based on real-world data.</w:t>
      </w:r>
    </w:p>
    <w:p>
      <w:pPr>
        <w:pStyle w:val="BodyText"/>
      </w:pPr>
      <w:r>
        <w:rPr>
          <w:i/>
        </w:rPr>
        <w:t xml:space="preserve">Example:</w:t>
      </w:r>
      <w:r>
        <w:t xml:space="preserve"> </w:t>
      </w:r>
      <w:r>
        <w:t xml:space="preserve">We will vary the conditions in a fully factorial manner. This will result in 3 (post-treatment mean)</w:t>
      </w:r>
      <w:r>
        <w:t xml:space="preserve"> </w:t>
      </w:r>
      <m:oMath>
        <m:r>
          <m:t>×</m:t>
        </m:r>
      </m:oMath>
      <w:r>
        <w:t xml:space="preserve"> </w:t>
      </w:r>
      <w:r>
        <w:t xml:space="preserve">3 (pre-post measurement correlation) = 9 simulation conditions.</w:t>
      </w:r>
    </w:p>
    <w:p>
      <w:pPr>
        <w:pStyle w:val="berschrift1"/>
      </w:pPr>
      <w:bookmarkStart w:id="38" w:name="estimands-and-targets"/>
      <w:r>
        <w:t xml:space="preserve">Estimands and Targets</w:t>
      </w:r>
      <w:bookmarkEnd w:id="38"/>
    </w:p>
    <w:p>
      <w:pPr>
        <w:pStyle w:val="berschrift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BodyText"/>
      </w:pPr>
      <w:r>
        <w:rPr>
          <w:i/>
        </w:rPr>
        <w:t xml:space="preserve">Example:</w:t>
      </w:r>
      <w:r>
        <w:t xml:space="preserve"> </w:t>
      </w:r>
      <w:r>
        <w:t xml:space="preserve">Our primary target is the null hypothesis of no difference between the control and treatment groups. Our secondary estimand is the treatment effect size defined as the expected difference between the control and the experimental group measurements at time-point two</w:t>
      </w:r>
    </w:p>
    <w:p>
      <w:pPr>
        <w:pStyle w:val="BodyText"/>
      </w:pPr>
      <m:oMathPara>
        <m:oMathParaPr>
          <m:jc m:val="center"/>
        </m:oMathParaPr>
        <m:oMath>
          <m:m>
            <m:mPr>
              <m:baseJc m:val="center"/>
              <m:plcHide m:val="1"/>
              <m:mcs>
                <m:mc>
                  <m:mcPr>
                    <m:mcJc m:val="right"/>
                    <m:count m:val="1"/>
                  </m:mcPr>
                </m:mc>
              </m:mcs>
            </m:mPr>
            <m:mr>
              <m:e>
                <m:r>
                  <m:rPr>
                    <m:nor/>
                    <m:sty m:val="p"/>
                  </m:rPr>
                  <m:t>E</m:t>
                </m:r>
                <m:r>
                  <m:t>(</m:t>
                </m:r>
                <m:sSub>
                  <m:e>
                    <m:r>
                      <m:t>Y</m:t>
                    </m:r>
                  </m:e>
                  <m:sub>
                    <m:r>
                      <m:rPr>
                        <m:nor/>
                        <m:sty m:val="p"/>
                      </m:rPr>
                      <m:t>exp</m:t>
                    </m:r>
                    <m:r>
                      <m:t>,</m:t>
                    </m:r>
                    <m:r>
                      <m:t>2</m:t>
                    </m:r>
                  </m:sub>
                </m:sSub>
                <m:r>
                  <m:t>)</m:t>
                </m:r>
                <m:r>
                  <m:t>−</m:t>
                </m:r>
                <m:r>
                  <m:rPr>
                    <m:nor/>
                    <m:sty m:val="p"/>
                  </m:rPr>
                  <m:t>E</m:t>
                </m:r>
                <m:r>
                  <m:t>(</m:t>
                </m:r>
                <m:sSub>
                  <m:e>
                    <m:r>
                      <m:t>Y</m:t>
                    </m:r>
                  </m:e>
                  <m:sub>
                    <m:r>
                      <m:rPr>
                        <m:nor/>
                        <m:sty m:val="p"/>
                      </m:rPr>
                      <m:t>control</m:t>
                    </m:r>
                    <m:r>
                      <m:t>,</m:t>
                    </m:r>
                    <m:r>
                      <m:t>2</m:t>
                    </m:r>
                  </m:sub>
                </m:sSub>
                <m:r>
                  <m:t>)</m:t>
                </m:r>
                <m:r>
                  <m:t>=</m:t>
                </m:r>
                <m:sSub>
                  <m:e>
                    <m:r>
                      <m:t>μ</m:t>
                    </m:r>
                  </m:e>
                  <m:sub>
                    <m:r>
                      <m:rPr>
                        <m:nor/>
                        <m:sty m:val="p"/>
                      </m:rPr>
                      <m:t>exp</m:t>
                    </m:r>
                    <m:r>
                      <m:t>,</m:t>
                    </m:r>
                    <m:r>
                      <m:t>2</m:t>
                    </m:r>
                  </m:sub>
                </m:sSub>
                <m:r>
                  <m:t>−</m:t>
                </m:r>
                <m:sSub>
                  <m:e>
                    <m:r>
                      <m:t>μ</m:t>
                    </m:r>
                  </m:e>
                  <m:sub>
                    <m:r>
                      <m:rPr>
                        <m:nor/>
                        <m:sty m:val="p"/>
                      </m:rPr>
                      <m:t>control</m:t>
                    </m:r>
                    <m:r>
                      <m:t>,</m:t>
                    </m:r>
                    <m:r>
                      <m:t>2</m:t>
                    </m:r>
                  </m:sub>
                </m:sSub>
              </m:e>
            </m:mr>
          </m:m>
        </m:oMath>
      </m:oMathPara>
    </w:p>
    <w:p>
      <w:pPr>
        <w:pStyle w:val="FirstParagraph"/>
      </w:pPr>
      <w:r>
        <w:t xml:space="preserve">which equals the post-treatment mean in the experimental group</w:t>
      </w:r>
      <w:r>
        <w:t xml:space="preserve"> </w:t>
      </w:r>
      <m:oMath>
        <m:sSub>
          <m:e>
            <m:r>
              <m:t>μ</m:t>
            </m:r>
          </m:e>
          <m:sub>
            <m:r>
              <m:rPr>
                <m:nor/>
                <m:sty m:val="p"/>
              </m:rPr>
              <m:t>exp</m:t>
            </m:r>
            <m:r>
              <m:t>,</m:t>
            </m:r>
            <m:r>
              <m:t>2</m:t>
            </m:r>
          </m:sub>
        </m:sSub>
      </m:oMath>
      <w:r>
        <w:t xml:space="preserve"> </w:t>
      </w:r>
      <w:r>
        <w:t xml:space="preserve">for the considered data-generating mechanisms since in all conditions</w:t>
      </w:r>
      <w:r>
        <w:t xml:space="preserve"> </w:t>
      </w:r>
      <m:oMath>
        <m:sSub>
          <m:e>
            <m:r>
              <m:t>μ</m:t>
            </m:r>
          </m:e>
          <m:sub>
            <m:r>
              <m:rPr>
                <m:nor/>
                <m:sty m:val="p"/>
              </m:rPr>
              <m:t>control</m:t>
            </m:r>
            <m:r>
              <m:t>,</m:t>
            </m:r>
            <m:r>
              <m:t>2</m:t>
            </m:r>
          </m:sub>
        </m:sSub>
        <m:r>
          <m:t>=</m:t>
        </m:r>
        <m:r>
          <m:t>0</m:t>
        </m:r>
      </m:oMath>
      <w:r>
        <w:t xml:space="preserve">.</w:t>
      </w:r>
    </w:p>
    <w:p>
      <w:pPr>
        <w:pStyle w:val="berschrift1"/>
      </w:pPr>
      <w:bookmarkStart w:id="40" w:name="methods"/>
      <w:r>
        <w:t xml:space="preserve">Methods</w:t>
      </w:r>
      <w:bookmarkEnd w:id="40"/>
    </w:p>
    <w:p>
      <w:pPr>
        <w:pStyle w:val="berschrift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w:t>
      </w:r>
    </w:p>
    <w:p>
      <w:pPr>
        <w:pStyle w:val="BodyText"/>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BodyText"/>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berschrift1"/>
      </w:pPr>
      <w:bookmarkStart w:id="42" w:name="performance-measures"/>
      <w:r>
        <w:t xml:space="preserve">Performance Measures</w:t>
      </w:r>
      <w:bookmarkEnd w:id="42"/>
    </w:p>
    <w:p>
      <w:pPr>
        <w:pStyle w:val="berschrift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BodyText"/>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the conventional threshold of 0.05. Both type I error rate and power are estimated by</w:t>
      </w:r>
    </w:p>
    <w:p>
      <w:pPr>
        <w:pStyle w:val="BodyText"/>
      </w:pPr>
      <m:oMathPara>
        <m:oMathParaPr>
          <m:jc m:val="center"/>
        </m:oMathParaPr>
        <m:oMath>
          <m:m>
            <m:mPr>
              <m:baseJc m:val="center"/>
              <m:plcHide m:val="1"/>
              <m:mcs>
                <m:mc>
                  <m:mcPr>
                    <m:mcJc m:val="right"/>
                    <m:count m:val="1"/>
                  </m:mcPr>
                </m:mc>
              </m:mcs>
            </m:mPr>
            <m:mr>
              <m:e>
                <m:acc>
                  <m:accPr>
                    <m:chr m:val="̂"/>
                  </m:accPr>
                  <m:e>
                    <m:r>
                      <m:rPr>
                        <m:nor/>
                        <m:sty m:val="p"/>
                      </m:rPr>
                      <m:t>Pow</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rPr>
                            <m:sty m:val="p"/>
                            <m:scr m:val="double-struck"/>
                          </m:rP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rPr>
            <m:sty m:val="p"/>
            <m:scr m:val="double-struck"/>
          </m:rP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estimated power</w:t>
      </w:r>
    </w:p>
    <w:p>
      <w:pPr>
        <w:pStyle w:val="BodyText"/>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Pow</m:t>
                        </m:r>
                      </m:e>
                    </m:acc>
                  </m:sub>
                </m:sSub>
                <m:r>
                  <m:t>=</m:t>
                </m:r>
                <m:rad>
                  <m:radPr>
                    <m:degHide m:val="1"/>
                  </m:radPr>
                  <m:deg/>
                  <m:e>
                    <m:f>
                      <m:fPr>
                        <m:type m:val="bar"/>
                      </m:fPr>
                      <m:num>
                        <m:acc>
                          <m:accPr>
                            <m:chr m:val="̂"/>
                          </m:accPr>
                          <m:e>
                            <m:r>
                              <m:rPr>
                                <m:nor/>
                                <m:sty m:val="p"/>
                              </m:rPr>
                              <m:t>Pow</m:t>
                            </m:r>
                          </m:e>
                        </m:acc>
                        <m:r>
                          <m:t>(</m:t>
                        </m:r>
                        <m:r>
                          <m:t>1</m:t>
                        </m:r>
                        <m:r>
                          <m:t>−</m:t>
                        </m:r>
                        <m:acc>
                          <m:accPr>
                            <m:chr m:val="̂"/>
                          </m:accPr>
                          <m:e>
                            <m:r>
                              <m:rPr>
                                <m:nor/>
                                <m:sty m:val="p"/>
                              </m:rPr>
                              <m:t>Pow</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BodyText"/>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BodyText"/>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berschrift2"/>
      </w:pPr>
      <w:bookmarkStart w:id="44" w:name="Xe905c9825bd28b6b7b4af825fd27a8f925653e5"/>
      <w:r>
        <w:t xml:space="preserve">How many simulation repetitions will be used for each condition?</w:t>
      </w:r>
      <w:bookmarkEnd w:id="44"/>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Bartoš, and Pawel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BodyText"/>
      </w:pPr>
      <w:r>
        <w:rPr>
          <w:i/>
        </w:rPr>
        <w:t xml:space="preserve">Example:</w:t>
      </w:r>
      <w:r>
        <w:t xml:space="preserve"> </w:t>
      </w:r>
      <w:r>
        <w:t xml:space="preserve">We will perform 6,400 repetitions per condition. We determined this number by aiming for a MCSE of 0.005 for the type I error rate and the power under good performance (5% type I error rate:</w:t>
      </w:r>
      <w:r>
        <w:t xml:space="preserve"> </w:t>
      </w:r>
      <m:oMath>
        <m:r>
          <m:t>0.05</m:t>
        </m:r>
        <m:r>
          <m:t>×</m:t>
        </m:r>
        <m:r>
          <m:t>(</m:t>
        </m:r>
        <m:r>
          <m:t>1</m:t>
        </m:r>
        <m:r>
          <m:t>−</m:t>
        </m:r>
        <m:r>
          <m:t>0.05</m:t>
        </m:r>
        <m:r>
          <m:t>)</m:t>
        </m:r>
        <m:r>
          <m:t>/</m:t>
        </m:r>
        <m:sSup>
          <m:e>
            <m:r>
              <m:t>0.005</m:t>
            </m:r>
          </m:e>
          <m:sup>
            <m:r>
              <m:t>2</m:t>
            </m:r>
          </m:sup>
        </m:sSup>
        <m:r>
          <m:t>=</m:t>
        </m:r>
        <m:r>
          <m:t>1</m:t>
        </m:r>
        <m:r>
          <m:t>,</m:t>
        </m:r>
        <m:r>
          <m:t>900</m:t>
        </m:r>
      </m:oMath>
      <w:r>
        <w:t xml:space="preserve"> </w:t>
      </w:r>
      <w:r>
        <w:t xml:space="preserve">repetitions, 80% power:</w:t>
      </w:r>
      <w:r>
        <w:t xml:space="preserve"> </w:t>
      </w:r>
      <m:oMath>
        <m:r>
          <m:t>0.8</m:t>
        </m:r>
        <m:r>
          <m:t>×</m:t>
        </m:r>
        <m:r>
          <m:t>(</m:t>
        </m:r>
        <m:r>
          <m:t>1</m:t>
        </m:r>
        <m:r>
          <m:t>−</m:t>
        </m:r>
        <m:r>
          <m:t>0.2</m:t>
        </m:r>
        <m:r>
          <m:t>)</m:t>
        </m:r>
        <m:r>
          <m:t>/</m:t>
        </m:r>
        <m:sSup>
          <m:e>
            <m:r>
              <m:t>0.005</m:t>
            </m:r>
          </m:e>
          <m:sup>
            <m:r>
              <m:t>2</m:t>
            </m:r>
          </m:sup>
        </m:sSup>
        <m:r>
          <m:t>=</m:t>
        </m:r>
        <m:r>
          <m:t>6</m:t>
        </m:r>
        <m:r>
          <m:t>,</m:t>
        </m:r>
        <m:r>
          <m:t>400</m:t>
        </m:r>
      </m:oMath>
      <w:r>
        <w:t xml:space="preserve"> </w:t>
      </w:r>
      <w:r>
        <w:t xml:space="preserve">repetitions, and we choose the larger number of repetitions).</w:t>
      </w:r>
    </w:p>
    <w:p>
      <w:pPr>
        <w:pStyle w:val="BodyText"/>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berschrift2"/>
      </w:pPr>
      <w:bookmarkStart w:id="45" w:name="X9ac4d585570f82dfa4941dca6c769cab141016f"/>
      <w:r>
        <w:t xml:space="preserve">How will Monte Carlo uncertainty be calculated and reported?</w:t>
      </w:r>
      <w:bookmarkEnd w:id="45"/>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Bartoš, and Pawel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BodyText"/>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Bartoš, and Pawel (2023)</w:t>
      </w:r>
      <w:r>
        <w:t xml:space="preserve"> </w:t>
      </w:r>
      <w:r>
        <w:t xml:space="preserve">to calculate MCSEs, see our answer to the last question.</w:t>
      </w:r>
    </w:p>
    <w:p>
      <w:pPr>
        <w:pStyle w:val="berschrift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BodyText"/>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berschrift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BodyText"/>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berschrift1"/>
      </w:pPr>
      <w:bookmarkStart w:id="48" w:name="other"/>
      <w:r>
        <w:t xml:space="preserve">Other</w:t>
      </w:r>
      <w:bookmarkEnd w:id="48"/>
    </w:p>
    <w:p>
      <w:pPr>
        <w:pStyle w:val="berschrift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BodyText"/>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berschrift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BodyText"/>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berschrift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BodyText"/>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w:t>
      </w:r>
    </w:p>
    <w:p>
      <w:pPr>
        <w:pStyle w:val="berschrift2"/>
      </w:pPr>
      <w:bookmarkStart w:id="52" w:name="Xd7234a75f79d64d466368d657a34bacbb464943"/>
      <w:r>
        <w:t xml:space="preserve">Is there anything else you want to preregister?</w:t>
      </w:r>
      <w:r>
        <w:t xml:space="preserve"> </w:t>
      </w:r>
      <w:r>
        <w:t xml:space="preserve">(optional)</w:t>
      </w:r>
      <w:bookmarkEnd w:id="52"/>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BodyText"/>
      </w:pPr>
      <w:r>
        <w:rPr>
          <w:i/>
        </w:rPr>
        <w:t xml:space="preserve">Example:</w:t>
      </w:r>
      <w:r>
        <w:t xml:space="preserve"> </w:t>
      </w:r>
      <w:r>
        <w:t xml:space="preserve">No.</w:t>
      </w:r>
    </w:p>
    <w:p>
      <w:pPr>
        <w:pStyle w:val="berschrift1"/>
      </w:pPr>
      <w:bookmarkStart w:id="53" w:name="references"/>
      <w:r>
        <w:t xml:space="preserve">References</w:t>
      </w:r>
      <w:bookmarkEnd w:id="53"/>
    </w:p>
    <w:bookmarkStart w:id="83" w:name="refs"/>
    <w:bookmarkStart w:id="55"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4">
        <w:r>
          <w:rPr>
            <w:rStyle w:val="Hyperlink"/>
          </w:rPr>
          <w:t xml:space="preserve">https://doi.org/10.20982/tqmp.16.4.p248</w:t>
        </w:r>
      </w:hyperlink>
      <w:r>
        <w:t xml:space="preserve">.</w:t>
      </w:r>
    </w:p>
    <w:bookmarkEnd w:id="55"/>
    <w:bookmarkStart w:id="57"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6">
        <w:r>
          <w:rPr>
            <w:rStyle w:val="Hyperlink"/>
          </w:rPr>
          <w:t xml:space="preserve">https://doi.org/10.1002/cjs.11719</w:t>
        </w:r>
      </w:hyperlink>
      <w:r>
        <w:t xml:space="preserve">.</w:t>
      </w:r>
    </w:p>
    <w:bookmarkEnd w:id="57"/>
    <w:bookmarkStart w:id="59"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58">
        <w:r>
          <w:rPr>
            <w:rStyle w:val="Hyperlink"/>
          </w:rPr>
          <w:t xml:space="preserve">https://doi.org/10.1186/s13063-018-3108-3</w:t>
        </w:r>
      </w:hyperlink>
      <w:r>
        <w:t xml:space="preserve">.</w:t>
      </w:r>
    </w:p>
    <w:bookmarkEnd w:id="59"/>
    <w:bookmarkStart w:id="60"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0"/>
    <w:bookmarkStart w:id="62"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1">
        <w:r>
          <w:rPr>
            <w:rStyle w:val="Hyperlink"/>
          </w:rPr>
          <w:t xml:space="preserve">https://doi.org/10.21105/joss.00739</w:t>
        </w:r>
      </w:hyperlink>
      <w:r>
        <w:t xml:space="preserve">.</w:t>
      </w:r>
    </w:p>
    <w:bookmarkEnd w:id="62"/>
    <w:bookmarkStart w:id="63"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3"/>
    <w:bookmarkStart w:id="65"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4">
        <w:r>
          <w:rPr>
            <w:rStyle w:val="Hyperlink"/>
          </w:rPr>
          <w:t xml:space="preserve">https://CRAN.R-project.org/package=simhelpers</w:t>
        </w:r>
      </w:hyperlink>
      <w:r>
        <w:t xml:space="preserve">.</w:t>
      </w:r>
    </w:p>
    <w:bookmarkEnd w:id="65"/>
    <w:bookmarkStart w:id="67"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6">
        <w:r>
          <w:rPr>
            <w:rStyle w:val="Hyperlink"/>
          </w:rPr>
          <w:t xml:space="preserve">https://doi.org/10.1080/00220973.2023.2246187</w:t>
        </w:r>
      </w:hyperlink>
      <w:r>
        <w:t xml:space="preserve">.</w:t>
      </w:r>
    </w:p>
    <w:bookmarkEnd w:id="67"/>
    <w:bookmarkStart w:id="69"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68">
        <w:r>
          <w:rPr>
            <w:rStyle w:val="Hyperlink"/>
          </w:rPr>
          <w:t xml:space="preserve">https://doi.org/10.1002/sim.8086</w:t>
        </w:r>
      </w:hyperlink>
      <w:r>
        <w:t xml:space="preserve">.</w:t>
      </w:r>
    </w:p>
    <w:bookmarkEnd w:id="69"/>
    <w:bookmarkStart w:id="71"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0">
        <w:r>
          <w:rPr>
            <w:rStyle w:val="Hyperlink"/>
          </w:rPr>
          <w:t xml:space="preserve">https://www.R-project.org/</w:t>
        </w:r>
      </w:hyperlink>
      <w:r>
        <w:t xml:space="preserve">.</w:t>
      </w:r>
    </w:p>
    <w:bookmarkEnd w:id="71"/>
    <w:bookmarkStart w:id="73"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2">
        <w:r>
          <w:rPr>
            <w:rStyle w:val="Hyperlink"/>
          </w:rPr>
          <w:t xml:space="preserve">https://doi.org/10.1002/sim.2682</w:t>
        </w:r>
      </w:hyperlink>
      <w:r>
        <w:t xml:space="preserve">.</w:t>
      </w:r>
    </w:p>
    <w:bookmarkEnd w:id="73"/>
    <w:bookmarkStart w:id="74" w:name="ref-Siepe2023"/>
    <w:p>
      <w:pPr>
        <w:pStyle w:val="Bibliography"/>
      </w:pPr>
      <w:r>
        <w:t xml:space="preserve">Siepe, Björn S., František Bartoš, and Samuel Pawel. 2023. “Simulation Studies for Methodological Research in Psychology: A Standardized Structure for Planning, Preregistration, and Reporting.”</w:t>
      </w:r>
    </w:p>
    <w:bookmarkEnd w:id="74"/>
    <w:bookmarkStart w:id="76"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5">
        <w:r>
          <w:rPr>
            <w:rStyle w:val="Hyperlink"/>
          </w:rPr>
          <w:t xml:space="preserve">https://doi.org/10.1207/s15327906mbr3502_1</w:t>
        </w:r>
      </w:hyperlink>
      <w:r>
        <w:t xml:space="preserve">.</w:t>
      </w:r>
    </w:p>
    <w:bookmarkEnd w:id="76"/>
    <w:bookmarkStart w:id="78"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7">
        <w:r>
          <w:rPr>
            <w:rStyle w:val="Hyperlink"/>
          </w:rPr>
          <w:t xml:space="preserve">https://doi.org/10.1080/00273171.2013.831743</w:t>
        </w:r>
      </w:hyperlink>
      <w:r>
        <w:t xml:space="preserve">.</w:t>
      </w:r>
    </w:p>
    <w:bookmarkEnd w:id="78"/>
    <w:bookmarkStart w:id="80"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79">
        <w:r>
          <w:rPr>
            <w:rStyle w:val="Hyperlink"/>
          </w:rPr>
          <w:t xml:space="preserve">https://doi.org/10.1186/1471-2288-1-6</w:t>
        </w:r>
      </w:hyperlink>
      <w:r>
        <w:t xml:space="preserve">.</w:t>
      </w:r>
    </w:p>
    <w:bookmarkEnd w:id="80"/>
    <w:bookmarkStart w:id="82"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1">
        <w:r>
          <w:rPr>
            <w:rStyle w:val="Hyperlink"/>
          </w:rPr>
          <w:t xml:space="preserve">https://ggplot2.tidyverse.org</w:t>
        </w:r>
      </w:hyperlink>
      <w:r>
        <w:t xml:space="preserve">.</w:t>
      </w:r>
    </w:p>
    <w:bookmarkEnd w:id="82"/>
    <w:bookmarkEnd w:id="83"/>
    <w:sectPr w:rsidR="00AA0E6F" w:rsidRPr="00AA0E6F">
      <w:pgSz w:w="11906" w:h="16838"/>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Light">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311E"/>
    <w:pPr>
      <w:spacing w:after="0" w:line="360" w:lineRule="auto"/>
    </w:pPr>
    <w:rPr>
      <w:rFonts w:ascii="Noto Sans Light" w:hAnsi="Noto Sans Light"/>
    </w:rPr>
  </w:style>
  <w:style w:type="paragraph" w:styleId="berschrift1">
    <w:name w:val="heading 1"/>
    <w:basedOn w:val="Standard"/>
    <w:next w:val="Standard"/>
    <w:link w:val="berschrift1Zchn"/>
    <w:uiPriority w:val="9"/>
    <w:qFormat/>
    <w:rsid w:val="00B00891"/>
    <w:pPr>
      <w:keepNext/>
      <w:keepLines/>
      <w:spacing w:before="480" w:after="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46952"/>
    <w:pPr>
      <w:keepNext/>
      <w:keepLines/>
      <w:spacing w:before="200" w:after="20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0891"/>
    <w:rPr>
      <w:rFonts w:ascii="Noto Sans Light" w:eastAsiaTheme="majorEastAsia" w:hAnsi="Noto Sans Light" w:cstheme="majorBidi"/>
      <w:b/>
      <w:sz w:val="32"/>
      <w:szCs w:val="32"/>
    </w:rPr>
  </w:style>
  <w:style w:type="character" w:customStyle="1" w:styleId="berschrift2Zchn">
    <w:name w:val="Überschrift 2 Zchn"/>
    <w:basedOn w:val="Absatz-Standardschriftart"/>
    <w:link w:val="berschrift2"/>
    <w:uiPriority w:val="9"/>
    <w:rsid w:val="00046952"/>
    <w:rPr>
      <w:rFonts w:ascii="Noto Sans Light" w:eastAsiaTheme="majorEastAsia" w:hAnsi="Noto Sans Light" w:cstheme="majorBidi"/>
      <w:sz w:val="26"/>
      <w:szCs w:val="26"/>
    </w:rPr>
  </w:style>
  <w:style w:type="paragraph" w:styleId="Titel">
    <w:name w:val="Title"/>
    <w:basedOn w:val="Standard"/>
    <w:next w:val="Standard"/>
    <w:link w:val="TitelZchn"/>
    <w:autoRedefine/>
    <w:uiPriority w:val="10"/>
    <w:qFormat/>
    <w:rsid w:val="00006B4A"/>
    <w:pPr>
      <w:spacing w:before="480" w:after="24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006B4A"/>
    <w:rPr>
      <w:rFonts w:ascii="Noto Sans Light" w:eastAsiaTheme="majorEastAsia" w:hAnsi="Noto Sans Light" w:cstheme="majorBidi"/>
      <w:spacing w:val="-10"/>
      <w:kern w:val="28"/>
      <w:sz w:val="56"/>
      <w:szCs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package=simhelpers" TargetMode="External" /><Relationship Type="http://schemas.openxmlformats.org/officeDocument/2006/relationships/hyperlink" Id="rId56" Target="https://doi.org/10.1002/cjs.11719" TargetMode="External" /><Relationship Type="http://schemas.openxmlformats.org/officeDocument/2006/relationships/hyperlink" Id="rId72" Target="https://doi.org/10.1002/sim.2682" TargetMode="External" /><Relationship Type="http://schemas.openxmlformats.org/officeDocument/2006/relationships/hyperlink" Id="rId68" Target="https://doi.org/10.1002/sim.8086" TargetMode="External" /><Relationship Type="http://schemas.openxmlformats.org/officeDocument/2006/relationships/hyperlink" Id="rId66" Target="https://doi.org/10.1080/00220973.2023.2246187" TargetMode="External" /><Relationship Type="http://schemas.openxmlformats.org/officeDocument/2006/relationships/hyperlink" Id="rId77" Target="https://doi.org/10.1080/00273171.2013.831743" TargetMode="External" /><Relationship Type="http://schemas.openxmlformats.org/officeDocument/2006/relationships/hyperlink" Id="rId79" Target="https://doi.org/10.1186/1471-2288-1-6" TargetMode="External" /><Relationship Type="http://schemas.openxmlformats.org/officeDocument/2006/relationships/hyperlink" Id="rId58" Target="https://doi.org/10.1186/s13063-018-3108-3" TargetMode="External" /><Relationship Type="http://schemas.openxmlformats.org/officeDocument/2006/relationships/hyperlink" Id="rId75" Target="https://doi.org/10.1207/s15327906mbr3502_1" TargetMode="External" /><Relationship Type="http://schemas.openxmlformats.org/officeDocument/2006/relationships/hyperlink" Id="rId54" Target="https://doi.org/10.20982/tqmp.16.4.p248" TargetMode="External" /><Relationship Type="http://schemas.openxmlformats.org/officeDocument/2006/relationships/hyperlink" Id="rId61" Target="https://doi.org/10.21105/joss.00739" TargetMode="External" /><Relationship Type="http://schemas.openxmlformats.org/officeDocument/2006/relationships/hyperlink" Id="rId81"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23" Target="https://osf.io/" TargetMode="External" /><Relationship Type="http://schemas.openxmlformats.org/officeDocument/2006/relationships/hyperlink" Id="rId70"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simhelpers" TargetMode="External" /><Relationship Type="http://schemas.openxmlformats.org/officeDocument/2006/relationships/hyperlink" Id="rId56" Target="https://doi.org/10.1002/cjs.11719" TargetMode="External" /><Relationship Type="http://schemas.openxmlformats.org/officeDocument/2006/relationships/hyperlink" Id="rId72" Target="https://doi.org/10.1002/sim.2682" TargetMode="External" /><Relationship Type="http://schemas.openxmlformats.org/officeDocument/2006/relationships/hyperlink" Id="rId68" Target="https://doi.org/10.1002/sim.8086" TargetMode="External" /><Relationship Type="http://schemas.openxmlformats.org/officeDocument/2006/relationships/hyperlink" Id="rId66" Target="https://doi.org/10.1080/00220973.2023.2246187" TargetMode="External" /><Relationship Type="http://schemas.openxmlformats.org/officeDocument/2006/relationships/hyperlink" Id="rId77" Target="https://doi.org/10.1080/00273171.2013.831743" TargetMode="External" /><Relationship Type="http://schemas.openxmlformats.org/officeDocument/2006/relationships/hyperlink" Id="rId79" Target="https://doi.org/10.1186/1471-2288-1-6" TargetMode="External" /><Relationship Type="http://schemas.openxmlformats.org/officeDocument/2006/relationships/hyperlink" Id="rId58" Target="https://doi.org/10.1186/s13063-018-3108-3" TargetMode="External" /><Relationship Type="http://schemas.openxmlformats.org/officeDocument/2006/relationships/hyperlink" Id="rId75" Target="https://doi.org/10.1207/s15327906mbr3502_1" TargetMode="External" /><Relationship Type="http://schemas.openxmlformats.org/officeDocument/2006/relationships/hyperlink" Id="rId54" Target="https://doi.org/10.20982/tqmp.16.4.p248" TargetMode="External" /><Relationship Type="http://schemas.openxmlformats.org/officeDocument/2006/relationships/hyperlink" Id="rId61" Target="https://doi.org/10.21105/joss.00739" TargetMode="External" /><Relationship Type="http://schemas.openxmlformats.org/officeDocument/2006/relationships/hyperlink" Id="rId81"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23" Target="https://osf.io/" TargetMode="External" /><Relationship Type="http://schemas.openxmlformats.org/officeDocument/2006/relationships/hyperlink" Id="rId70"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2023-10-18T11:43:41Z</dcterms:created>
  <dcterms:modified xsi:type="dcterms:W3CDTF">2023-10-18T11:43:41Z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